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20B" w:rsidRPr="00D93A6A" w:rsidRDefault="00C7120B" w:rsidP="00C7120B">
      <w:pPr>
        <w:tabs>
          <w:tab w:val="left" w:pos="1830"/>
        </w:tabs>
        <w:spacing w:line="360" w:lineRule="auto"/>
        <w:jc w:val="center"/>
        <w:rPr>
          <w:b/>
          <w:sz w:val="28"/>
          <w:szCs w:val="28"/>
        </w:rPr>
      </w:pPr>
      <w:r w:rsidRPr="00D93A6A">
        <w:rPr>
          <w:b/>
          <w:sz w:val="28"/>
          <w:szCs w:val="28"/>
        </w:rPr>
        <w:t>R</w:t>
      </w:r>
      <w:r w:rsidR="00D93A6A" w:rsidRPr="00D93A6A">
        <w:rPr>
          <w:b/>
          <w:sz w:val="28"/>
          <w:szCs w:val="28"/>
        </w:rPr>
        <w:t>OZDZIAŁ</w:t>
      </w:r>
      <w:r w:rsidRPr="00D93A6A">
        <w:rPr>
          <w:b/>
          <w:sz w:val="28"/>
          <w:szCs w:val="28"/>
        </w:rPr>
        <w:t xml:space="preserve"> III</w:t>
      </w:r>
    </w:p>
    <w:p w:rsidR="00C7120B" w:rsidRPr="00D93A6A" w:rsidRDefault="00C7120B" w:rsidP="00C7120B">
      <w:pPr>
        <w:tabs>
          <w:tab w:val="left" w:pos="8460"/>
        </w:tabs>
        <w:jc w:val="center"/>
        <w:rPr>
          <w:b/>
          <w:sz w:val="28"/>
          <w:szCs w:val="28"/>
        </w:rPr>
      </w:pPr>
      <w:r w:rsidRPr="00D93A6A">
        <w:rPr>
          <w:b/>
          <w:sz w:val="28"/>
          <w:szCs w:val="28"/>
        </w:rPr>
        <w:t>NIEPOWODZENIA SZKOLNE DZIECI Z RODZIN O WYSOKIM STATUSIE MAJĄTKOWYM I SPOŁECZNYM W ŚWIETLE BADAŃ WŁASNYCH</w:t>
      </w:r>
    </w:p>
    <w:p w:rsidR="00C7120B" w:rsidRDefault="00C7120B" w:rsidP="00C7120B">
      <w:pPr>
        <w:tabs>
          <w:tab w:val="left" w:pos="1830"/>
          <w:tab w:val="left" w:pos="8460"/>
        </w:tabs>
        <w:rPr>
          <w:b/>
          <w:sz w:val="26"/>
          <w:szCs w:val="26"/>
        </w:rPr>
      </w:pPr>
    </w:p>
    <w:p w:rsidR="00C7120B" w:rsidRDefault="00C7120B" w:rsidP="00C7120B">
      <w:pPr>
        <w:tabs>
          <w:tab w:val="left" w:pos="1830"/>
          <w:tab w:val="left" w:pos="8460"/>
        </w:tabs>
        <w:spacing w:line="360" w:lineRule="auto"/>
        <w:jc w:val="both"/>
      </w:pPr>
      <w:r>
        <w:rPr>
          <w:b/>
        </w:rPr>
        <w:t xml:space="preserve">          </w:t>
      </w:r>
      <w:r>
        <w:t xml:space="preserve">W tej części pracy dokonano gruntownej analizy i interpretacji zgromadzonego </w:t>
      </w:r>
      <w:r>
        <w:br/>
        <w:t>w badaniach materiału empirycznego. Zaprezentowano tu uczniów z rodzin o wysokim statusie majątkowym i społecznym na tle rówieśników, przedstawiono skalę i przejawy problemów wychowawczych i edukacyjnych, jakie sprawiają czy też mają tacy uczniowie oraz ukazano reakcje rodziców na niepowodzenia szkolne dzieci.</w:t>
      </w:r>
    </w:p>
    <w:p w:rsidR="00C7120B" w:rsidRDefault="00C7120B" w:rsidP="00C7120B">
      <w:pPr>
        <w:tabs>
          <w:tab w:val="left" w:pos="8460"/>
        </w:tabs>
        <w:rPr>
          <w:b/>
          <w:sz w:val="26"/>
          <w:szCs w:val="26"/>
        </w:rPr>
      </w:pPr>
    </w:p>
    <w:p w:rsidR="00C7120B" w:rsidRDefault="00721FD1" w:rsidP="00C7120B">
      <w:pPr>
        <w:tabs>
          <w:tab w:val="left" w:pos="1830"/>
          <w:tab w:val="left" w:pos="8460"/>
        </w:tabs>
        <w:rPr>
          <w:b/>
          <w:sz w:val="26"/>
          <w:szCs w:val="26"/>
        </w:rPr>
      </w:pPr>
      <w:r>
        <w:rPr>
          <w:b/>
          <w:sz w:val="26"/>
          <w:szCs w:val="26"/>
        </w:rPr>
        <w:t>4</w:t>
      </w:r>
      <w:r w:rsidR="00C7120B">
        <w:rPr>
          <w:b/>
          <w:sz w:val="26"/>
          <w:szCs w:val="26"/>
        </w:rPr>
        <w:t>.1. Funkcjonowanie dzieci w grupie rówieśniczej</w:t>
      </w:r>
    </w:p>
    <w:p w:rsidR="00C7120B" w:rsidRDefault="00C7120B" w:rsidP="00C7120B">
      <w:pPr>
        <w:tabs>
          <w:tab w:val="left" w:pos="1710"/>
        </w:tabs>
        <w:jc w:val="both"/>
      </w:pPr>
    </w:p>
    <w:p w:rsidR="00C7120B" w:rsidRDefault="00C7120B" w:rsidP="00C7120B">
      <w:pPr>
        <w:tabs>
          <w:tab w:val="left" w:pos="1710"/>
        </w:tabs>
        <w:spacing w:line="360" w:lineRule="auto"/>
        <w:jc w:val="both"/>
      </w:pPr>
      <w:r>
        <w:t xml:space="preserve">          W niniejszym podrozdziale scharakteryzowano uczniów z rodzin o wysokim statusie majątkowym i społecznym w odniesieniu do grona ich koleżeństwa oraz określono relacje takich dzieci z rówieśnikami.</w:t>
      </w:r>
    </w:p>
    <w:p w:rsidR="00C7120B" w:rsidRDefault="00C7120B" w:rsidP="00C7120B">
      <w:pPr>
        <w:tabs>
          <w:tab w:val="left" w:pos="1710"/>
        </w:tabs>
        <w:spacing w:line="360" w:lineRule="auto"/>
        <w:jc w:val="both"/>
      </w:pPr>
      <w:r>
        <w:t xml:space="preserve">          Najpierw starano się ustalić ile średnio w zespole klasowym znajduje się dzieci znajduje się dzieci, wywodzących się z rodzin zamożnych i liczących się w lokalnej hierarchii społecznej, czym ewentualnie wyróżniają się tacy uczniowie na tle klasy oraz jaki jest stopień zaspokojenia potrzeb psychicznych</w:t>
      </w:r>
      <w:r w:rsidR="00D30F37">
        <w:t xml:space="preserve"> i emocjonalnych takich dzieci </w:t>
      </w:r>
      <w:r>
        <w:t>w stosunku do ogółu rówieśników. Uzyskany materiał ankietowy dotyczący tych wątków zilustrowano na wykresach 6-10.</w:t>
      </w:r>
    </w:p>
    <w:p w:rsidR="00D4382B" w:rsidRDefault="00D4382B" w:rsidP="00C7120B">
      <w:pPr>
        <w:tabs>
          <w:tab w:val="left" w:pos="1710"/>
        </w:tabs>
        <w:spacing w:line="360" w:lineRule="auto"/>
        <w:jc w:val="both"/>
      </w:pPr>
    </w:p>
    <w:p w:rsidR="00C7120B" w:rsidRDefault="00D4382B" w:rsidP="00403006">
      <w:pPr>
        <w:tabs>
          <w:tab w:val="left" w:pos="1710"/>
        </w:tabs>
        <w:spacing w:line="360" w:lineRule="auto"/>
        <w:jc w:val="both"/>
        <w:rPr>
          <w:sz w:val="22"/>
          <w:szCs w:val="22"/>
        </w:rPr>
      </w:pPr>
      <w:r>
        <w:t xml:space="preserve">                                                                                                  </w:t>
      </w:r>
      <w:r w:rsidR="00813EED">
        <w:t xml:space="preserve">                                     </w:t>
      </w:r>
      <w:r>
        <w:t>Wykres 6</w:t>
      </w:r>
      <w:r w:rsidR="00813EED">
        <w:t>.</w:t>
      </w:r>
      <w:r w:rsidR="00C7120B">
        <w:rPr>
          <w:sz w:val="22"/>
          <w:szCs w:val="22"/>
        </w:rPr>
        <w:tab/>
      </w:r>
    </w:p>
    <w:p w:rsidR="00403006" w:rsidRPr="00403006" w:rsidRDefault="00403006" w:rsidP="00403006">
      <w:pPr>
        <w:tabs>
          <w:tab w:val="left" w:pos="1710"/>
        </w:tabs>
        <w:spacing w:line="360" w:lineRule="auto"/>
        <w:jc w:val="both"/>
      </w:pPr>
      <w:r>
        <w:rPr>
          <w:sz w:val="22"/>
          <w:szCs w:val="22"/>
        </w:rPr>
        <w:t>Temat: Przeciętna ilość dzieci pochodzących z bogatych rodzin w zespole klasowym</w:t>
      </w:r>
    </w:p>
    <w:p w:rsidR="00C7120B" w:rsidRDefault="00D4382B" w:rsidP="00C7120B">
      <w:pPr>
        <w:rPr>
          <w:sz w:val="22"/>
          <w:szCs w:val="22"/>
        </w:rPr>
      </w:pPr>
      <w:r>
        <w:rPr>
          <w:noProof/>
        </w:rPr>
        <w:drawing>
          <wp:anchor distT="0" distB="0" distL="114300" distR="114300" simplePos="0" relativeHeight="251659264" behindDoc="0" locked="0" layoutInCell="1" allowOverlap="1" wp14:anchorId="19DA44DF" wp14:editId="6590CFF0">
            <wp:simplePos x="0" y="0"/>
            <wp:positionH relativeFrom="column">
              <wp:posOffset>2559</wp:posOffset>
            </wp:positionH>
            <wp:positionV relativeFrom="paragraph">
              <wp:posOffset>83341</wp:posOffset>
            </wp:positionV>
            <wp:extent cx="4768344" cy="2816284"/>
            <wp:effectExtent l="0" t="0" r="13335" b="22225"/>
            <wp:wrapNone/>
            <wp:docPr id="24" name="Wykres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1A1E87" w:rsidRDefault="001A1E87" w:rsidP="00C7120B">
      <w:pPr>
        <w:rPr>
          <w:sz w:val="20"/>
          <w:szCs w:val="20"/>
        </w:rPr>
      </w:pPr>
    </w:p>
    <w:p w:rsidR="00C7120B" w:rsidRPr="001A1E87" w:rsidRDefault="00C7120B" w:rsidP="00C7120B">
      <w:pPr>
        <w:rPr>
          <w:sz w:val="22"/>
          <w:szCs w:val="22"/>
        </w:rPr>
      </w:pPr>
      <w:r>
        <w:rPr>
          <w:sz w:val="20"/>
          <w:szCs w:val="20"/>
        </w:rPr>
        <w:t xml:space="preserve"> Źródło: Opracowanie własne na podstawie danych z ankiety</w:t>
      </w:r>
    </w:p>
    <w:p w:rsidR="00C7120B" w:rsidRDefault="00C7120B" w:rsidP="00C7120B">
      <w:pPr>
        <w:tabs>
          <w:tab w:val="left" w:pos="1710"/>
        </w:tabs>
        <w:spacing w:line="360" w:lineRule="auto"/>
        <w:jc w:val="both"/>
      </w:pPr>
      <w:r>
        <w:lastRenderedPageBreak/>
        <w:t xml:space="preserve">            Z ustaleń badawczych wynika, że w zespole klasowym jest przeciętnie dwoje dzieci, pochodzących z bogatych rodzin. Na ten wariant odpowiedzi wskazała niemal połowa badanych (56,0%). Co czwarty respondent (24,0%) uznał, że w grupie klasowych zwykle znajduje się troje dzieci. 14,0% ankietowanych opowiedziało się za jednym dzieckiem. Kilka osób nie ustosunkowało się do tej kwestii, stwierdzając, że „trudno powiedzieć” (4,0%).</w:t>
      </w:r>
    </w:p>
    <w:p w:rsidR="00C7120B" w:rsidRDefault="00C7120B" w:rsidP="00C7120B">
      <w:pPr>
        <w:tabs>
          <w:tab w:val="left" w:pos="1710"/>
        </w:tabs>
        <w:spacing w:line="360" w:lineRule="auto"/>
        <w:jc w:val="both"/>
      </w:pPr>
      <w:r>
        <w:t xml:space="preserve">          Dokonując uśredniania uzyskanych wyników, można przyjąć, że zazwyczaj </w:t>
      </w:r>
      <w:r>
        <w:br/>
        <w:t>w skład każdego zespołu klasowego wchodzi przeciętnie dwoje dzieci, których rodzice osiągnęli wysoki status społeczny i materialny.</w:t>
      </w:r>
    </w:p>
    <w:p w:rsidR="00C7120B" w:rsidRDefault="00C7120B" w:rsidP="00C7120B">
      <w:pPr>
        <w:tabs>
          <w:tab w:val="left" w:pos="1710"/>
        </w:tabs>
        <w:spacing w:line="360" w:lineRule="auto"/>
        <w:jc w:val="both"/>
      </w:pPr>
      <w:r>
        <w:t xml:space="preserve">          W związku z występowaniem w klasach przeciętnie dwójki dzieci z rodzin dobrze sytuowanych, powstała kwestia czy tacy uczniowie wyróżniają się czymś szczególnym na tle zespołu klasowego. Może to być sposób ubioru, zachowania, demonstracyjne poczucie wyższości etc. Dzieci takie niekoniecznie jednak muszą posiadać czy odznaczać się cechami różnicującymi ich w stosunku do innych uczniów. W kafeterii odpowiedzi zamieszczono kilka wariantów, jednocześnie umożliwiono respondentom podanie innej cechy zaobserwowanej u dzieci. Zatem było to pytanie półotwarte. Dane na ten temat zaprezentowano na wykresie 7. </w:t>
      </w:r>
    </w:p>
    <w:p w:rsidR="00C7120B" w:rsidRPr="005949FB" w:rsidRDefault="00270179" w:rsidP="00C7120B">
      <w:r>
        <w:rPr>
          <w:sz w:val="22"/>
          <w:szCs w:val="22"/>
        </w:rPr>
        <w:t xml:space="preserve">                                                                                                          </w:t>
      </w:r>
      <w:r w:rsidR="005949FB">
        <w:rPr>
          <w:sz w:val="22"/>
          <w:szCs w:val="22"/>
        </w:rPr>
        <w:t xml:space="preserve">                               </w:t>
      </w:r>
      <w:r>
        <w:rPr>
          <w:sz w:val="22"/>
          <w:szCs w:val="22"/>
        </w:rPr>
        <w:t xml:space="preserve">               </w:t>
      </w:r>
      <w:r w:rsidRPr="005949FB">
        <w:t>Wykres 7</w:t>
      </w:r>
      <w:r w:rsidR="00813EED" w:rsidRPr="005949FB">
        <w:t>.</w:t>
      </w:r>
    </w:p>
    <w:p w:rsidR="00C7120B" w:rsidRDefault="00C7120B" w:rsidP="00C7120B">
      <w:pPr>
        <w:jc w:val="center"/>
        <w:rPr>
          <w:sz w:val="22"/>
          <w:szCs w:val="22"/>
        </w:rPr>
      </w:pPr>
    </w:p>
    <w:p w:rsidR="00C7120B" w:rsidRPr="005949FB" w:rsidRDefault="005949FB" w:rsidP="00C7120B">
      <w:r>
        <w:t>Temat</w:t>
      </w:r>
      <w:r w:rsidR="00892A17" w:rsidRPr="005949FB">
        <w:t>: cechy wyróżniające uczniów z rodzin o wysokim statusie społecznym  i materialnym</w:t>
      </w:r>
    </w:p>
    <w:p w:rsidR="00C7120B" w:rsidRDefault="00892A17" w:rsidP="00C7120B">
      <w:pPr>
        <w:rPr>
          <w:sz w:val="22"/>
          <w:szCs w:val="22"/>
        </w:rPr>
      </w:pPr>
      <w:r>
        <w:rPr>
          <w:noProof/>
        </w:rPr>
        <w:drawing>
          <wp:anchor distT="0" distB="0" distL="114300" distR="114300" simplePos="0" relativeHeight="251678720" behindDoc="0" locked="0" layoutInCell="1" allowOverlap="1" wp14:anchorId="105A932C" wp14:editId="7DCCBDFF">
            <wp:simplePos x="0" y="0"/>
            <wp:positionH relativeFrom="column">
              <wp:posOffset>2540</wp:posOffset>
            </wp:positionH>
            <wp:positionV relativeFrom="paragraph">
              <wp:posOffset>105410</wp:posOffset>
            </wp:positionV>
            <wp:extent cx="4689475" cy="3202305"/>
            <wp:effectExtent l="0" t="0" r="15875" b="17145"/>
            <wp:wrapNone/>
            <wp:docPr id="23" name="Wykres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jc w:val="cente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0"/>
          <w:szCs w:val="20"/>
        </w:rPr>
      </w:pPr>
      <w:r>
        <w:rPr>
          <w:sz w:val="22"/>
          <w:szCs w:val="22"/>
        </w:rPr>
        <w:t xml:space="preserve">    </w:t>
      </w:r>
      <w:r>
        <w:rPr>
          <w:sz w:val="20"/>
          <w:szCs w:val="20"/>
        </w:rPr>
        <w:t xml:space="preserve"> Źródło: Opracowanie własne na podstawie danych z ankiety</w:t>
      </w:r>
    </w:p>
    <w:p w:rsidR="00C7120B" w:rsidRDefault="00C7120B" w:rsidP="00C7120B">
      <w:pPr>
        <w:spacing w:line="360" w:lineRule="auto"/>
        <w:jc w:val="both"/>
      </w:pPr>
      <w:r>
        <w:t xml:space="preserve">          Największa grupa nauczycieli biorących udział w badaniach stwierdziła, że dzieci z rodzin o wysokim statusie materialnym i społecznym wyróżniają się prze wszystkim sposobem ubierania się. Taki wariant odpowiedzi miał 39,13% wskazań. Część badanych uznała, że jest to sposób zachowania (17,44%). Pewna część nauczycieli zaznaczyła, że uczniowie tacy przejawiają poczucie wyższości  względem rówieśników (13,20%). Taka sama co do liczebności </w:t>
      </w:r>
      <w:r>
        <w:lastRenderedPageBreak/>
        <w:t xml:space="preserve">grupa respondentów wyraziła opinię, że nie wyróżniają się oni niczym szczególnym. Jakkolwiek co dziesiąta osoba ankietowana  wskazała na „inne cechy wyróżniające”, to jednak nie sprecyzowano o jakie może chodzić. Jedynie, co warto przytoczyć, to trzy krótkie adnotacje: „większe zarozumialstwo niż u innych dzieci”, „pewność siebie”, „przekonanie, że taki uczeń jest lepszy od innych”. </w:t>
      </w:r>
    </w:p>
    <w:p w:rsidR="00C7120B" w:rsidRDefault="00C7120B" w:rsidP="00C7120B">
      <w:pPr>
        <w:spacing w:line="360" w:lineRule="auto"/>
        <w:jc w:val="both"/>
      </w:pPr>
      <w:r>
        <w:t xml:space="preserve">          W badaniach starano się również określić stopień zaspokojenia potrzeb psychicznych i emocjonalnych dzieci z rodzin o wysokim statusie społecznym </w:t>
      </w:r>
      <w:r>
        <w:br/>
        <w:t xml:space="preserve">i materialnym. Przyjęto, że potrzeby natury materialnej ze zrozumiałych względów są </w:t>
      </w:r>
      <w:r>
        <w:br/>
        <w:t xml:space="preserve">w przypadku takich uczniów spełniane w dostatecznym stopniu. W dokonanej diagnozie oparto się na relacjach nauczycieli, uznając, że ich ocena jest obiektywna </w:t>
      </w:r>
      <w:r>
        <w:br/>
        <w:t>i miarodajna. Poziom zaspokojenia potrzeb psychicznych i emocjonalnych podzielono na pięć kategorii: bardzo wysoki, wysoki, przeciętny, niski oraz bardzo niski. Zebrany materiał na ten temat ilustruje wykres 8.</w:t>
      </w:r>
    </w:p>
    <w:p w:rsidR="00E6096D" w:rsidRPr="00C829E4" w:rsidRDefault="00E6096D" w:rsidP="00E6096D">
      <w:pPr>
        <w:spacing w:line="360" w:lineRule="auto"/>
        <w:jc w:val="both"/>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C829E4">
        <w:t>Wykres 8.</w:t>
      </w:r>
    </w:p>
    <w:p w:rsidR="00C829E4" w:rsidRDefault="00E6096D" w:rsidP="00E6096D">
      <w:pPr>
        <w:spacing w:line="360" w:lineRule="auto"/>
        <w:jc w:val="both"/>
      </w:pPr>
      <w:r w:rsidRPr="00C829E4">
        <w:t>Tema</w:t>
      </w:r>
      <w:r w:rsidR="00C829E4">
        <w:t>t</w:t>
      </w:r>
      <w:r w:rsidRPr="00C829E4">
        <w:t xml:space="preserve">: </w:t>
      </w:r>
      <w:r w:rsidRPr="00C829E4">
        <w:t>Stopień zaspokojenia potrzeb emocjonalny</w:t>
      </w:r>
      <w:r w:rsidRPr="00C829E4">
        <w:t xml:space="preserve">ch i psychicznych dzieci </w:t>
      </w:r>
    </w:p>
    <w:p w:rsidR="00C829E4" w:rsidRDefault="00C829E4" w:rsidP="00E6096D">
      <w:pPr>
        <w:spacing w:line="360" w:lineRule="auto"/>
        <w:jc w:val="both"/>
      </w:pPr>
      <w:r>
        <w:rPr>
          <w:noProof/>
        </w:rPr>
        <w:drawing>
          <wp:anchor distT="0" distB="0" distL="114300" distR="114300" simplePos="0" relativeHeight="251660288" behindDoc="0" locked="0" layoutInCell="1" allowOverlap="1" wp14:anchorId="33B8B844" wp14:editId="5081E6D0">
            <wp:simplePos x="0" y="0"/>
            <wp:positionH relativeFrom="column">
              <wp:posOffset>2540</wp:posOffset>
            </wp:positionH>
            <wp:positionV relativeFrom="paragraph">
              <wp:posOffset>210820</wp:posOffset>
            </wp:positionV>
            <wp:extent cx="4594225" cy="3062605"/>
            <wp:effectExtent l="0" t="0" r="15875" b="23495"/>
            <wp:wrapNone/>
            <wp:docPr id="22" name="Wykres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E6096D" w:rsidRPr="00C829E4">
        <w:t xml:space="preserve">pochodzących z rodzin </w:t>
      </w:r>
      <w:r w:rsidR="00E6096D" w:rsidRPr="00C829E4">
        <w:t>bogatych</w:t>
      </w:r>
    </w:p>
    <w:p w:rsidR="00C7120B" w:rsidRPr="00E6096D" w:rsidRDefault="00C7120B" w:rsidP="00E6096D">
      <w:pPr>
        <w:spacing w:line="360" w:lineRule="auto"/>
        <w:jc w:val="both"/>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38342F" w:rsidRDefault="0038342F" w:rsidP="00C7120B">
      <w:pPr>
        <w:tabs>
          <w:tab w:val="left" w:pos="3765"/>
        </w:tabs>
        <w:rPr>
          <w:sz w:val="22"/>
          <w:szCs w:val="22"/>
        </w:rPr>
      </w:pPr>
    </w:p>
    <w:p w:rsidR="00C7120B" w:rsidRDefault="00C7120B" w:rsidP="00C7120B">
      <w:pPr>
        <w:tabs>
          <w:tab w:val="left" w:pos="3765"/>
        </w:tabs>
        <w:rPr>
          <w:sz w:val="22"/>
          <w:szCs w:val="22"/>
        </w:rPr>
      </w:pPr>
      <w:r>
        <w:rPr>
          <w:sz w:val="22"/>
          <w:szCs w:val="22"/>
        </w:rPr>
        <w:t xml:space="preserve">  </w:t>
      </w:r>
    </w:p>
    <w:p w:rsidR="00C7120B" w:rsidRDefault="00C7120B" w:rsidP="00C7120B">
      <w:pPr>
        <w:tabs>
          <w:tab w:val="left" w:pos="3765"/>
        </w:tabs>
        <w:rPr>
          <w:b/>
          <w:sz w:val="22"/>
          <w:szCs w:val="22"/>
        </w:rPr>
      </w:pPr>
      <w:r>
        <w:rPr>
          <w:sz w:val="20"/>
          <w:szCs w:val="20"/>
        </w:rPr>
        <w:t xml:space="preserve">    Źródło: Opracowanie własne na podstawie danych z ankiety</w:t>
      </w:r>
    </w:p>
    <w:p w:rsidR="00C7120B" w:rsidRDefault="00C7120B" w:rsidP="00C7120B">
      <w:pPr>
        <w:spacing w:line="360" w:lineRule="auto"/>
        <w:jc w:val="both"/>
      </w:pPr>
      <w:r>
        <w:t xml:space="preserve">          Z odpowiedzi badanych można wywnioskować, że stopień realizacji potrzeb dzieci z rodzin zamożnych jest na ogół przeciętny. Taką deklarację złożyła prawie połowa respondentów (48,0%). Co trzeci badany wyraził zdanie, że ów poziom jest niski (32,0%). Nieliczne osoby twierdziły, że jest to poziom wysoki (8,0%) lub bardzo niski (6,0%). Pozostałe osoby (6,0%) ankietowane nie wyraziły się w tej kwestii.</w:t>
      </w:r>
    </w:p>
    <w:p w:rsidR="00C7120B" w:rsidRDefault="00C7120B" w:rsidP="00C7120B">
      <w:pPr>
        <w:spacing w:line="360" w:lineRule="auto"/>
        <w:jc w:val="both"/>
      </w:pPr>
      <w:r>
        <w:lastRenderedPageBreak/>
        <w:t xml:space="preserve">          Zatem, można skonstatować, ze stopień zaspokojenia potrzeb dzieci z rodzin zamożnych i dobrze sytuowanych lokalizuje się na poziomie przeciętnym z nieznaczną tendencją do niskiego.</w:t>
      </w:r>
    </w:p>
    <w:p w:rsidR="00C7120B" w:rsidRDefault="00C7120B" w:rsidP="00C7120B">
      <w:pPr>
        <w:spacing w:line="360" w:lineRule="auto"/>
        <w:jc w:val="both"/>
      </w:pPr>
      <w:r>
        <w:t xml:space="preserve">          W tym kontekście rozważono też sprawę tego jak się ma stopień zaspokojenia potrzeb psychicznych i emocjonalnych dzieci z rodzin o wysokim statusie materialnym i społecznym w stosunku do ogółu uczniów, czy są lepiej realizowane przez ich  rodziców, gorzej czy nie ma większej różnicy w poziomie tego wskaźnika między wyróżnionymi kategoriami uczniów. Problem ten rozwiązano za sprawą materiału ankietowego. W kwestionariuszu ankiety bowiem zamieszczono pytania odpowiedniej treści. Strukturę procentową wyborów podejmowanych przez respondentów ukazano na wykresie 9.</w:t>
      </w:r>
    </w:p>
    <w:p w:rsidR="002B0C8F" w:rsidRDefault="002B0C8F" w:rsidP="00C7120B">
      <w:pPr>
        <w:spacing w:line="360" w:lineRule="auto"/>
        <w:jc w:val="both"/>
      </w:pPr>
      <w:r>
        <w:tab/>
      </w:r>
      <w:r>
        <w:tab/>
      </w:r>
      <w:r>
        <w:tab/>
      </w:r>
      <w:r>
        <w:tab/>
      </w:r>
      <w:r>
        <w:tab/>
      </w:r>
      <w:r>
        <w:tab/>
      </w:r>
      <w:r>
        <w:tab/>
      </w:r>
      <w:r>
        <w:tab/>
      </w:r>
      <w:r>
        <w:tab/>
      </w:r>
      <w:r>
        <w:tab/>
        <w:t xml:space="preserve">   </w:t>
      </w:r>
      <w:r>
        <w:tab/>
        <w:t xml:space="preserve">      Wykres 9.</w:t>
      </w:r>
    </w:p>
    <w:p w:rsidR="00C7120B" w:rsidRPr="002B0C8F" w:rsidRDefault="002B0C8F" w:rsidP="002B0C8F">
      <w:pPr>
        <w:tabs>
          <w:tab w:val="left" w:pos="1815"/>
        </w:tabs>
      </w:pPr>
      <w:r w:rsidRPr="002B0C8F">
        <w:t xml:space="preserve">Temat: </w:t>
      </w:r>
      <w:r w:rsidRPr="002B0C8F">
        <w:t xml:space="preserve">Stopień zaspokojenia potrzeb emocjonalnych i psychicznych dzieci z rodzin </w:t>
      </w:r>
      <w:r w:rsidRPr="002B0C8F">
        <w:br/>
      </w:r>
      <w:r>
        <w:t xml:space="preserve">             </w:t>
      </w:r>
      <w:r w:rsidRPr="002B0C8F">
        <w:t>dobrze sytuowanych  w stosunku do ogółu uczniów</w:t>
      </w:r>
    </w:p>
    <w:p w:rsidR="00C7120B" w:rsidRDefault="002B0C8F" w:rsidP="00C7120B">
      <w:pPr>
        <w:rPr>
          <w:sz w:val="22"/>
          <w:szCs w:val="22"/>
        </w:rPr>
      </w:pPr>
      <w:r>
        <w:rPr>
          <w:noProof/>
        </w:rPr>
        <w:drawing>
          <wp:anchor distT="0" distB="0" distL="114300" distR="114300" simplePos="0" relativeHeight="251661312" behindDoc="0" locked="0" layoutInCell="1" allowOverlap="1" wp14:anchorId="2CD16B9F" wp14:editId="791A84F4">
            <wp:simplePos x="0" y="0"/>
            <wp:positionH relativeFrom="column">
              <wp:posOffset>2540</wp:posOffset>
            </wp:positionH>
            <wp:positionV relativeFrom="paragraph">
              <wp:posOffset>95250</wp:posOffset>
            </wp:positionV>
            <wp:extent cx="5491480" cy="3141345"/>
            <wp:effectExtent l="0" t="0" r="13970" b="20955"/>
            <wp:wrapNone/>
            <wp:docPr id="21" name="Wykres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1815"/>
        </w:tabs>
        <w:rPr>
          <w:sz w:val="22"/>
          <w:szCs w:val="22"/>
        </w:rPr>
      </w:pPr>
      <w:r>
        <w:rPr>
          <w:sz w:val="22"/>
          <w:szCs w:val="22"/>
        </w:rPr>
        <w:t xml:space="preserve">  </w:t>
      </w:r>
    </w:p>
    <w:p w:rsidR="00C7120B" w:rsidRDefault="00C7120B" w:rsidP="00C7120B">
      <w:pPr>
        <w:rPr>
          <w:sz w:val="20"/>
          <w:szCs w:val="20"/>
        </w:rPr>
      </w:pPr>
      <w:r>
        <w:rPr>
          <w:sz w:val="22"/>
          <w:szCs w:val="22"/>
        </w:rPr>
        <w:t xml:space="preserve">     </w:t>
      </w:r>
      <w:r>
        <w:rPr>
          <w:sz w:val="20"/>
          <w:szCs w:val="20"/>
        </w:rPr>
        <w:t>Źródło: Opracowanie własne na podstawie danych z ankiety</w:t>
      </w:r>
    </w:p>
    <w:p w:rsidR="00C7120B" w:rsidRDefault="00C7120B" w:rsidP="00C7120B">
      <w:pPr>
        <w:spacing w:line="360" w:lineRule="auto"/>
        <w:jc w:val="both"/>
      </w:pPr>
      <w:r>
        <w:t xml:space="preserve">           Wypowiedzi respondentów skoncentrowane były na dwóch wariantach. Większa grupa nauczycieli uczestniczących w badaniach (58,0%) stwierdziła, że dzieci </w:t>
      </w:r>
      <w:r>
        <w:br/>
        <w:t>z zamożnych i ustosunkowanych społecznie rodzin mają gorzej zaspokajane potrzeby natury psychicznej i emocjonalnej. Co trzecia osoba ankietowana wyraziła opinię, że nie ma znaczącej różnicy w realizacji tego rodzaju potrzeb między dziećmi z bogatych domów a pozostałymi uczniami. Nieliczni respondenci nie udzielili konkretnej odpowiedzi wskazując na wariant „trudno powiedzieć” (6,0%).</w:t>
      </w:r>
    </w:p>
    <w:p w:rsidR="00C7120B" w:rsidRDefault="00C7120B" w:rsidP="00C7120B">
      <w:pPr>
        <w:spacing w:line="360" w:lineRule="auto"/>
        <w:jc w:val="both"/>
      </w:pPr>
      <w:r>
        <w:t xml:space="preserve">          Jednym z założeń badawczych była próba rozpoznania wpływu dzieci z bogatych rodzin na grupę rówieśniczą oraz jakość relacji jednych z drugimi. W pierwszym przypadku chodziło o to czy tacy uczniowie w gronie swojego koleżeństwa są: akceptowani, odrzucani, lubiani, czy </w:t>
      </w:r>
      <w:r>
        <w:lastRenderedPageBreak/>
        <w:t>przewodzą grupie, czy inne dzieci wzorują się na nich etc. W tym drugim natomiast zamierzano określić jaki wpływ mają ci uczniowie na rówieśników: pozytywny, negatywny, a może neutralny. Zebrane dane empiryczne na ten temat zilustrowano na wykresach 10 oraz 11.</w:t>
      </w:r>
    </w:p>
    <w:p w:rsidR="00E86CD1" w:rsidRDefault="00E86CD1" w:rsidP="00C7120B">
      <w:pPr>
        <w:spacing w:line="360" w:lineRule="auto"/>
        <w:jc w:val="both"/>
      </w:pPr>
      <w:r>
        <w:tab/>
      </w:r>
      <w:r>
        <w:tab/>
      </w:r>
      <w:r>
        <w:tab/>
      </w:r>
      <w:r>
        <w:tab/>
      </w:r>
      <w:r>
        <w:tab/>
      </w:r>
      <w:r>
        <w:tab/>
      </w:r>
      <w:r>
        <w:tab/>
      </w:r>
      <w:r>
        <w:tab/>
      </w:r>
      <w:r>
        <w:tab/>
      </w:r>
      <w:r>
        <w:tab/>
      </w:r>
      <w:r>
        <w:tab/>
        <w:t xml:space="preserve">       Wykres 10.</w:t>
      </w:r>
    </w:p>
    <w:p w:rsidR="00C7120B" w:rsidRDefault="00E86CD1" w:rsidP="00C7120B">
      <w:pPr>
        <w:rPr>
          <w:b/>
          <w:sz w:val="22"/>
          <w:szCs w:val="22"/>
        </w:rPr>
      </w:pPr>
      <w:r>
        <w:t xml:space="preserve">Temat: </w:t>
      </w:r>
      <w:r w:rsidRPr="00E86CD1">
        <w:t>Relacje dzieci z bogatych rodzin z grupą rówieśniczą</w:t>
      </w:r>
    </w:p>
    <w:p w:rsidR="00C7120B" w:rsidRDefault="00C7120B" w:rsidP="00C7120B">
      <w:pPr>
        <w:rPr>
          <w:sz w:val="22"/>
          <w:szCs w:val="22"/>
        </w:rPr>
      </w:pPr>
      <w:r>
        <w:rPr>
          <w:noProof/>
        </w:rPr>
        <w:drawing>
          <wp:anchor distT="0" distB="0" distL="114300" distR="114300" simplePos="0" relativeHeight="251676672" behindDoc="0" locked="0" layoutInCell="1" allowOverlap="1">
            <wp:simplePos x="0" y="0"/>
            <wp:positionH relativeFrom="column">
              <wp:posOffset>0</wp:posOffset>
            </wp:positionH>
            <wp:positionV relativeFrom="paragraph">
              <wp:posOffset>98425</wp:posOffset>
            </wp:positionV>
            <wp:extent cx="5495925" cy="3917315"/>
            <wp:effectExtent l="3175" t="635" r="0" b="0"/>
            <wp:wrapNone/>
            <wp:docPr id="20" name="Wykres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2"/>
          <w:szCs w:val="22"/>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Pr="00E86CD1" w:rsidRDefault="00C7120B" w:rsidP="00C7120B">
      <w:r>
        <w:rPr>
          <w:b/>
          <w:sz w:val="22"/>
          <w:szCs w:val="22"/>
        </w:rPr>
        <w:t xml:space="preserve">  </w:t>
      </w:r>
    </w:p>
    <w:p w:rsidR="00C7120B" w:rsidRDefault="00C7120B" w:rsidP="00C7120B">
      <w:pPr>
        <w:tabs>
          <w:tab w:val="left" w:pos="2130"/>
        </w:tabs>
        <w:rPr>
          <w:sz w:val="20"/>
          <w:szCs w:val="20"/>
        </w:rPr>
      </w:pPr>
      <w:r>
        <w:rPr>
          <w:sz w:val="20"/>
          <w:szCs w:val="20"/>
        </w:rPr>
        <w:t xml:space="preserve">   Źródło: Opracowanie własne na podstawie danych z ankiety</w:t>
      </w:r>
    </w:p>
    <w:p w:rsidR="00C7120B" w:rsidRDefault="00C7120B" w:rsidP="00C7120B">
      <w:pPr>
        <w:jc w:val="both"/>
      </w:pPr>
    </w:p>
    <w:p w:rsidR="00C7120B" w:rsidRDefault="00C7120B" w:rsidP="00C7120B">
      <w:pPr>
        <w:spacing w:line="360" w:lineRule="auto"/>
        <w:jc w:val="both"/>
      </w:pPr>
      <w:r>
        <w:t xml:space="preserve">         Jak na to wskazała analiza materiału ankietowego, uczniowie z rodzin o wysokim statusie społecznym i materialnym są przede wszystkim akceptowane w gronie rówieśników. Te wariant miał 52,0% wskazań. Co dziesiąta odpowiedź osób ankietowanych sugerowała, że koleżeństwo lubi takie dzieci. Część nauczycieli stwierdziła, iż inni uczniowie wzorują się na nich (14,0%), a nawet takie dzieci potrafią przewodzić w grupie (8,0%). Pewna grupa respondentów (16,0%) uznała, że nie dostrzega różnicy w relacjach, jakie nawiązują dzieci z zamożnych rodzin </w:t>
      </w:r>
      <w:r>
        <w:br/>
        <w:t>z koleżeństwem, w odniesieniu do innych uczniów.</w:t>
      </w:r>
    </w:p>
    <w:p w:rsidR="00C7120B" w:rsidRDefault="00C7120B" w:rsidP="00C7120B">
      <w:pPr>
        <w:spacing w:line="360" w:lineRule="auto"/>
        <w:jc w:val="both"/>
      </w:pPr>
      <w:r>
        <w:t xml:space="preserve">          Założono, że wpływ dzieci, których rodzice postawieni są wysoko w hierarchii lokalnej społeczności na grono rówieśnicze może być różny. W kafeterii odpowiedzi zamieszczono cztery warianty wpływu: pozytywny, negatywny, neutralny oraz brak cech różnicujących między tymi a ogółem uczniów. Wyniki w tej przedmiotowej kwestii obrazuje wykres 11.</w:t>
      </w:r>
    </w:p>
    <w:p w:rsidR="00C7120B" w:rsidRDefault="00C7120B" w:rsidP="00C7120B">
      <w:pPr>
        <w:tabs>
          <w:tab w:val="left" w:pos="2520"/>
        </w:tabs>
        <w:rPr>
          <w:b/>
          <w:sz w:val="22"/>
          <w:szCs w:val="22"/>
        </w:rPr>
      </w:pPr>
    </w:p>
    <w:p w:rsidR="00C7120B" w:rsidRDefault="00C7120B" w:rsidP="00C7120B">
      <w:pPr>
        <w:rPr>
          <w:sz w:val="22"/>
          <w:szCs w:val="22"/>
        </w:rPr>
      </w:pPr>
    </w:p>
    <w:p w:rsidR="00E80164" w:rsidRDefault="00E80164" w:rsidP="00C7120B">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E80164" w:rsidRDefault="00E80164" w:rsidP="00C7120B">
      <w:r>
        <w:lastRenderedPageBreak/>
        <w:tab/>
      </w:r>
      <w:r>
        <w:tab/>
      </w:r>
      <w:r>
        <w:tab/>
      </w:r>
      <w:r>
        <w:tab/>
      </w:r>
      <w:r>
        <w:tab/>
      </w:r>
      <w:r>
        <w:tab/>
      </w:r>
      <w:r>
        <w:tab/>
      </w:r>
      <w:r>
        <w:tab/>
      </w:r>
      <w:r>
        <w:tab/>
      </w:r>
      <w:r>
        <w:tab/>
      </w:r>
      <w:r>
        <w:tab/>
        <w:t>Wykres 11.</w:t>
      </w:r>
    </w:p>
    <w:p w:rsidR="00AB7C4C" w:rsidRDefault="00AB7C4C" w:rsidP="00C7120B">
      <w:pPr>
        <w:rPr>
          <w:sz w:val="22"/>
          <w:szCs w:val="22"/>
        </w:rPr>
      </w:pPr>
      <w:r>
        <w:t xml:space="preserve">Temat: </w:t>
      </w:r>
      <w:r w:rsidRPr="00AB7C4C">
        <w:t>Rodzaj wpływu na grupę rówieśnic</w:t>
      </w:r>
      <w:r>
        <w:t xml:space="preserve">za mają dzieci z rodzin dobrze </w:t>
      </w:r>
      <w:r w:rsidRPr="00AB7C4C">
        <w:t>sytuowanych</w:t>
      </w:r>
    </w:p>
    <w:p w:rsidR="00AB7C4C" w:rsidRDefault="00AB7C4C" w:rsidP="00C7120B">
      <w:pPr>
        <w:rPr>
          <w:sz w:val="22"/>
          <w:szCs w:val="22"/>
        </w:rPr>
      </w:pPr>
    </w:p>
    <w:p w:rsidR="00AB7C4C" w:rsidRDefault="00AB7C4C" w:rsidP="00C7120B">
      <w:pPr>
        <w:rPr>
          <w:sz w:val="22"/>
          <w:szCs w:val="22"/>
        </w:rPr>
      </w:pPr>
    </w:p>
    <w:p w:rsidR="00AB7C4C" w:rsidRDefault="00AB7C4C" w:rsidP="00C7120B">
      <w:pPr>
        <w:rPr>
          <w:sz w:val="22"/>
          <w:szCs w:val="22"/>
        </w:rPr>
      </w:pPr>
    </w:p>
    <w:p w:rsidR="00C7120B" w:rsidRDefault="00AB7C4C" w:rsidP="00C7120B">
      <w:pPr>
        <w:rPr>
          <w:sz w:val="22"/>
          <w:szCs w:val="22"/>
        </w:rPr>
      </w:pPr>
      <w:r>
        <w:rPr>
          <w:noProof/>
        </w:rPr>
        <w:drawing>
          <wp:anchor distT="0" distB="0" distL="114300" distR="114300" simplePos="0" relativeHeight="251684864" behindDoc="0" locked="0" layoutInCell="1" allowOverlap="1" wp14:anchorId="4828ED67" wp14:editId="65285AB0">
            <wp:simplePos x="0" y="0"/>
            <wp:positionH relativeFrom="column">
              <wp:posOffset>24130</wp:posOffset>
            </wp:positionH>
            <wp:positionV relativeFrom="paragraph">
              <wp:posOffset>-390673</wp:posOffset>
            </wp:positionV>
            <wp:extent cx="5062220" cy="3702050"/>
            <wp:effectExtent l="0" t="0" r="24130" b="12700"/>
            <wp:wrapNone/>
            <wp:docPr id="19" name="Wykres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2"/>
          <w:szCs w:val="22"/>
        </w:rPr>
      </w:pPr>
    </w:p>
    <w:p w:rsidR="00C7120B" w:rsidRDefault="00C7120B" w:rsidP="00C7120B">
      <w:pPr>
        <w:tabs>
          <w:tab w:val="left" w:pos="2130"/>
        </w:tabs>
        <w:rPr>
          <w:sz w:val="20"/>
          <w:szCs w:val="20"/>
        </w:rPr>
      </w:pPr>
    </w:p>
    <w:p w:rsidR="00C7120B" w:rsidRDefault="00C7120B" w:rsidP="00C7120B">
      <w:pPr>
        <w:tabs>
          <w:tab w:val="left" w:pos="2520"/>
        </w:tabs>
        <w:rPr>
          <w:b/>
          <w:sz w:val="22"/>
          <w:szCs w:val="22"/>
        </w:rPr>
      </w:pPr>
    </w:p>
    <w:p w:rsidR="00C7120B" w:rsidRPr="004D78ED" w:rsidRDefault="00C7120B" w:rsidP="00C7120B">
      <w:pPr>
        <w:tabs>
          <w:tab w:val="left" w:pos="2520"/>
        </w:tabs>
        <w:rPr>
          <w:b/>
          <w:sz w:val="22"/>
          <w:szCs w:val="22"/>
        </w:rPr>
      </w:pPr>
      <w:r>
        <w:rPr>
          <w:b/>
          <w:sz w:val="22"/>
          <w:szCs w:val="22"/>
        </w:rPr>
        <w:t xml:space="preserve"> </w:t>
      </w:r>
    </w:p>
    <w:p w:rsidR="00C7120B" w:rsidRDefault="00C7120B" w:rsidP="00C7120B">
      <w:pPr>
        <w:tabs>
          <w:tab w:val="left" w:pos="2130"/>
        </w:tabs>
        <w:rPr>
          <w:sz w:val="20"/>
          <w:szCs w:val="20"/>
        </w:rPr>
      </w:pPr>
      <w:r>
        <w:rPr>
          <w:sz w:val="20"/>
          <w:szCs w:val="20"/>
        </w:rPr>
        <w:t xml:space="preserve">  Źródło: Opracowanie własne na podstawie danych z ankiety</w:t>
      </w:r>
    </w:p>
    <w:p w:rsidR="00C7120B" w:rsidRDefault="00C7120B" w:rsidP="00C7120B">
      <w:pPr>
        <w:jc w:val="both"/>
      </w:pPr>
    </w:p>
    <w:p w:rsidR="00C7120B" w:rsidRDefault="00C7120B" w:rsidP="00C7120B">
      <w:pPr>
        <w:spacing w:line="360" w:lineRule="auto"/>
        <w:jc w:val="both"/>
      </w:pPr>
      <w:r>
        <w:t xml:space="preserve">         Ponad połowa nauczycieli objętych badaniem (52,0%) stwierdziła, że nie dostrzega istotnej różnicy we wpływie na koleżeństwo dzieci z bogatych rodzin w stosunku do ogółu uczniów. Dla co trzeciej osoby ankietowanej był to wpływ neutralny, który trudno zakwalifikować w kategoriach dodatni-ujemny. Tylko 8,0% respondentów uznało, że to oddziaływanie ma charakter negatywny, zaś 2,0% wyraziło przeciwną opinię (wpływ pozytywny). Osoby, które wskazały na wariant „negatywny” na ogół nie uzasadniały swojego stanowiska, nie wyjaśniały na czym tej ujemny wpływ polega. Pojawiały się jedynie zdawkowe odpowiedzi, które warto zacytować: „rozpsuwają uczniów”, „przeszkadzają koleżeństwu na lekcji”, „ich markowe ubrania powodują zawiść i zazdrość rówieśników”.</w:t>
      </w:r>
    </w:p>
    <w:p w:rsidR="00C7120B" w:rsidRDefault="00C7120B" w:rsidP="00C7120B">
      <w:pPr>
        <w:spacing w:line="360" w:lineRule="auto"/>
        <w:jc w:val="both"/>
      </w:pPr>
    </w:p>
    <w:p w:rsidR="00C7120B" w:rsidRDefault="00C7120B" w:rsidP="00C7120B">
      <w:pPr>
        <w:spacing w:line="360" w:lineRule="auto"/>
        <w:jc w:val="both"/>
      </w:pPr>
    </w:p>
    <w:p w:rsidR="00C7120B" w:rsidRDefault="00721FD1" w:rsidP="00C7120B">
      <w:pPr>
        <w:spacing w:line="360" w:lineRule="auto"/>
        <w:rPr>
          <w:b/>
          <w:sz w:val="26"/>
          <w:szCs w:val="26"/>
        </w:rPr>
      </w:pPr>
      <w:r>
        <w:rPr>
          <w:b/>
          <w:sz w:val="26"/>
          <w:szCs w:val="26"/>
        </w:rPr>
        <w:t>4</w:t>
      </w:r>
      <w:r w:rsidR="00C7120B">
        <w:rPr>
          <w:b/>
          <w:sz w:val="26"/>
          <w:szCs w:val="26"/>
        </w:rPr>
        <w:t>.2. Problemy wychowawcze sprawiane przez uczniów</w:t>
      </w:r>
    </w:p>
    <w:p w:rsidR="00C7120B" w:rsidRDefault="00C7120B" w:rsidP="00C7120B">
      <w:pPr>
        <w:spacing w:line="360" w:lineRule="auto"/>
        <w:rPr>
          <w:b/>
          <w:sz w:val="26"/>
          <w:szCs w:val="26"/>
        </w:rPr>
      </w:pPr>
    </w:p>
    <w:p w:rsidR="00C7120B" w:rsidRDefault="00C7120B" w:rsidP="00C7120B">
      <w:pPr>
        <w:spacing w:line="360" w:lineRule="auto"/>
        <w:jc w:val="both"/>
      </w:pPr>
      <w:r>
        <w:t xml:space="preserve">          Najistotniejszym zamierzeniem badawczym było określenie skali oraz przejawów problemów wychowawczych i edukacyjnych, związanych z dziećmi, pochodzącymi </w:t>
      </w:r>
      <w:r>
        <w:br/>
        <w:t xml:space="preserve">z rodzin o wysokim statusie majątkowym i społecznym. Innymi słowy chodziło </w:t>
      </w:r>
      <w:r>
        <w:br/>
      </w:r>
      <w:r>
        <w:lastRenderedPageBreak/>
        <w:t>o diagnozę niepowodzeń szkolnych takich uczniów. Tej kwestii poświęcone zostały dwa kolejne podrozdziały tej części pracy (trzeciego rozdziału).</w:t>
      </w:r>
    </w:p>
    <w:p w:rsidR="00C7120B" w:rsidRDefault="00C7120B" w:rsidP="00C7120B">
      <w:pPr>
        <w:spacing w:line="360" w:lineRule="auto"/>
        <w:jc w:val="both"/>
      </w:pPr>
      <w:r>
        <w:t xml:space="preserve">          Na początku zamierzano rozpoznać kwestię z jaką grupą uczniów nauczyciele najczęściej kojarzą problem niepowodzeń szkolnych. Chodzi przede wszystkim </w:t>
      </w:r>
      <w:r>
        <w:br/>
        <w:t xml:space="preserve">o określenie jaki odsetek dzieci z rodzin o wysokim statusie społecznym </w:t>
      </w:r>
      <w:r>
        <w:br/>
        <w:t xml:space="preserve">i materialnym doświadcza niepowodzeń edukacyjnych na tle ogółu społeczności szkolnej. W kafeterii odpowiedzi wskazano cztery kategorie uczniów: dzieci z rodzin dysfunkcyjnych (alkoholizm, przemoc), uczniów z rodzin dobrze sytuowanych oraz pozostałych uczniów. Respondenci mogli dodatkowo wskazać inną kategorię dzieci przez siebie wyróżnioną. Uzyskane dane empiryczne w tym przedmiotowym zakresie przedstawia wykres 12. </w:t>
      </w:r>
    </w:p>
    <w:p w:rsidR="00C7120B" w:rsidRDefault="00C7120B" w:rsidP="00C7120B">
      <w:pPr>
        <w:spacing w:line="360" w:lineRule="auto"/>
        <w:jc w:val="both"/>
      </w:pPr>
    </w:p>
    <w:p w:rsidR="00C7120B" w:rsidRDefault="00786390" w:rsidP="00C7120B">
      <w:pPr>
        <w:jc w:val="center"/>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786390">
        <w:t>Wykres 12.</w:t>
      </w:r>
    </w:p>
    <w:p w:rsidR="00C7120B" w:rsidRPr="00786390" w:rsidRDefault="00786390" w:rsidP="00786390">
      <w:r>
        <w:t xml:space="preserve">Temat: </w:t>
      </w:r>
      <w:r w:rsidRPr="00786390">
        <w:t>Skala problemu niepowodzeń szkolnych dzieci</w:t>
      </w:r>
      <w:r w:rsidRPr="00786390">
        <w:rPr>
          <w:rStyle w:val="Odwoanieprzypisudolnego"/>
        </w:rPr>
        <w:footnoteReference w:id="1"/>
      </w:r>
    </w:p>
    <w:p w:rsidR="00C7120B" w:rsidRDefault="00786390" w:rsidP="00C7120B">
      <w:pPr>
        <w:jc w:val="center"/>
        <w:rPr>
          <w:b/>
          <w:sz w:val="22"/>
          <w:szCs w:val="22"/>
        </w:rPr>
      </w:pPr>
      <w:r>
        <w:rPr>
          <w:noProof/>
        </w:rPr>
        <w:drawing>
          <wp:anchor distT="0" distB="0" distL="114300" distR="114300" simplePos="0" relativeHeight="251662336" behindDoc="0" locked="0" layoutInCell="1" allowOverlap="1" wp14:anchorId="125DB75F" wp14:editId="3050618C">
            <wp:simplePos x="0" y="0"/>
            <wp:positionH relativeFrom="column">
              <wp:posOffset>-153670</wp:posOffset>
            </wp:positionH>
            <wp:positionV relativeFrom="paragraph">
              <wp:posOffset>127635</wp:posOffset>
            </wp:positionV>
            <wp:extent cx="5501005" cy="3771900"/>
            <wp:effectExtent l="0" t="0" r="23495" b="19050"/>
            <wp:wrapNone/>
            <wp:docPr id="18" name="Wykres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C7120B" w:rsidRDefault="00C7120B" w:rsidP="00C7120B">
      <w:pPr>
        <w:jc w:val="center"/>
        <w:rPr>
          <w:b/>
          <w:sz w:val="22"/>
          <w:szCs w:val="22"/>
        </w:rPr>
      </w:pPr>
    </w:p>
    <w:p w:rsidR="00C7120B" w:rsidRDefault="00C7120B" w:rsidP="00C7120B">
      <w:pPr>
        <w:jc w:val="center"/>
        <w:rPr>
          <w:b/>
          <w:sz w:val="22"/>
          <w:szCs w:val="22"/>
        </w:rPr>
      </w:pPr>
    </w:p>
    <w:p w:rsidR="00C7120B" w:rsidRDefault="00C7120B" w:rsidP="00C7120B">
      <w:pPr>
        <w:jc w:val="center"/>
        <w:rPr>
          <w:b/>
          <w:sz w:val="22"/>
          <w:szCs w:val="22"/>
        </w:rPr>
      </w:pPr>
    </w:p>
    <w:p w:rsidR="00C7120B" w:rsidRDefault="00C7120B" w:rsidP="00C7120B">
      <w:pPr>
        <w:jc w:val="center"/>
        <w:rPr>
          <w:b/>
          <w:sz w:val="22"/>
          <w:szCs w:val="22"/>
        </w:rPr>
      </w:pPr>
    </w:p>
    <w:p w:rsidR="00C7120B" w:rsidRDefault="00C7120B" w:rsidP="00C7120B">
      <w:pPr>
        <w:jc w:val="center"/>
        <w:rPr>
          <w:b/>
          <w:sz w:val="22"/>
          <w:szCs w:val="22"/>
        </w:rPr>
      </w:pPr>
    </w:p>
    <w:p w:rsidR="00C7120B" w:rsidRDefault="00C7120B" w:rsidP="00C7120B">
      <w:pPr>
        <w:jc w:val="center"/>
        <w:rPr>
          <w:b/>
          <w:sz w:val="22"/>
          <w:szCs w:val="22"/>
        </w:rPr>
      </w:pPr>
    </w:p>
    <w:p w:rsidR="00C7120B" w:rsidRDefault="00C7120B" w:rsidP="00C7120B">
      <w:pPr>
        <w:jc w:val="center"/>
        <w:rPr>
          <w:b/>
          <w:sz w:val="22"/>
          <w:szCs w:val="22"/>
        </w:rPr>
      </w:pPr>
    </w:p>
    <w:p w:rsidR="00C7120B" w:rsidRDefault="00C7120B" w:rsidP="00C7120B">
      <w:pPr>
        <w:jc w:val="center"/>
        <w:rPr>
          <w:b/>
          <w:sz w:val="22"/>
          <w:szCs w:val="22"/>
        </w:rPr>
      </w:pPr>
    </w:p>
    <w:p w:rsidR="00C7120B" w:rsidRDefault="00C7120B" w:rsidP="00C7120B">
      <w:pPr>
        <w:rPr>
          <w:b/>
          <w:sz w:val="22"/>
          <w:szCs w:val="22"/>
        </w:rPr>
      </w:pPr>
    </w:p>
    <w:p w:rsidR="00C7120B" w:rsidRDefault="00C7120B" w:rsidP="00C7120B">
      <w:pPr>
        <w:rPr>
          <w:b/>
          <w:sz w:val="22"/>
          <w:szCs w:val="22"/>
        </w:rPr>
      </w:pPr>
    </w:p>
    <w:p w:rsidR="00C7120B" w:rsidRDefault="00C7120B" w:rsidP="00C7120B">
      <w:pPr>
        <w:rPr>
          <w:b/>
          <w:sz w:val="22"/>
          <w:szCs w:val="22"/>
        </w:rPr>
      </w:pPr>
    </w:p>
    <w:p w:rsidR="00C7120B" w:rsidRDefault="00C7120B" w:rsidP="00C7120B"/>
    <w:p w:rsidR="00C7120B" w:rsidRDefault="00C7120B" w:rsidP="00C7120B">
      <w:pPr>
        <w:rPr>
          <w:sz w:val="22"/>
          <w:szCs w:val="22"/>
        </w:rPr>
      </w:pPr>
    </w:p>
    <w:p w:rsidR="00C7120B" w:rsidRDefault="00C7120B" w:rsidP="00C7120B">
      <w:pPr>
        <w:jc w:val="center"/>
        <w:rPr>
          <w:sz w:val="22"/>
          <w:szCs w:val="22"/>
        </w:rPr>
      </w:pPr>
    </w:p>
    <w:p w:rsidR="00C7120B" w:rsidRDefault="00C7120B" w:rsidP="00C7120B">
      <w:pPr>
        <w:jc w:val="center"/>
        <w:rPr>
          <w:sz w:val="22"/>
          <w:szCs w:val="22"/>
        </w:rPr>
      </w:pPr>
    </w:p>
    <w:p w:rsidR="00C7120B" w:rsidRDefault="00C7120B" w:rsidP="00C7120B">
      <w:pPr>
        <w:jc w:val="center"/>
        <w:rPr>
          <w:sz w:val="22"/>
          <w:szCs w:val="22"/>
        </w:rPr>
      </w:pPr>
    </w:p>
    <w:p w:rsidR="00C7120B" w:rsidRDefault="00C7120B" w:rsidP="00C7120B">
      <w:pPr>
        <w:jc w:val="center"/>
        <w:rPr>
          <w:sz w:val="22"/>
          <w:szCs w:val="22"/>
        </w:rPr>
      </w:pPr>
    </w:p>
    <w:p w:rsidR="00C7120B" w:rsidRDefault="00C7120B" w:rsidP="00C7120B">
      <w:pPr>
        <w:jc w:val="center"/>
        <w:rPr>
          <w:sz w:val="22"/>
          <w:szCs w:val="22"/>
        </w:rPr>
      </w:pPr>
    </w:p>
    <w:p w:rsidR="00C7120B" w:rsidRDefault="00C7120B" w:rsidP="00C7120B">
      <w:pPr>
        <w:jc w:val="center"/>
        <w:rPr>
          <w:sz w:val="22"/>
          <w:szCs w:val="22"/>
        </w:rPr>
      </w:pPr>
    </w:p>
    <w:p w:rsidR="00C7120B" w:rsidRDefault="00C7120B" w:rsidP="00C7120B">
      <w:pPr>
        <w:jc w:val="center"/>
        <w:rPr>
          <w:sz w:val="22"/>
          <w:szCs w:val="22"/>
        </w:rPr>
      </w:pPr>
    </w:p>
    <w:p w:rsidR="00C7120B" w:rsidRDefault="00C7120B" w:rsidP="00C7120B">
      <w:pPr>
        <w:jc w:val="center"/>
        <w:rPr>
          <w:sz w:val="22"/>
          <w:szCs w:val="22"/>
        </w:rPr>
      </w:pPr>
    </w:p>
    <w:p w:rsidR="00C7120B" w:rsidRDefault="00C7120B" w:rsidP="00C7120B">
      <w:pPr>
        <w:jc w:val="center"/>
        <w:rPr>
          <w:sz w:val="22"/>
          <w:szCs w:val="22"/>
        </w:rPr>
      </w:pPr>
    </w:p>
    <w:p w:rsidR="00C7120B" w:rsidRDefault="00C7120B" w:rsidP="000D7489">
      <w:pPr>
        <w:rPr>
          <w:sz w:val="22"/>
          <w:szCs w:val="22"/>
        </w:rPr>
      </w:pPr>
    </w:p>
    <w:p w:rsidR="00C7120B" w:rsidRDefault="00C7120B" w:rsidP="00C7120B">
      <w:pPr>
        <w:rPr>
          <w:b/>
          <w:sz w:val="22"/>
          <w:szCs w:val="22"/>
        </w:rPr>
      </w:pPr>
    </w:p>
    <w:p w:rsidR="00C7120B" w:rsidRDefault="00C7120B" w:rsidP="00C7120B">
      <w:pPr>
        <w:rPr>
          <w:sz w:val="20"/>
          <w:szCs w:val="20"/>
        </w:rPr>
      </w:pPr>
      <w:r>
        <w:rPr>
          <w:sz w:val="20"/>
          <w:szCs w:val="20"/>
        </w:rPr>
        <w:t>Źródło: Opracowanie własne na podstawie danych z ankiety</w:t>
      </w:r>
    </w:p>
    <w:p w:rsidR="00C7120B" w:rsidRDefault="00C7120B" w:rsidP="00C7120B">
      <w:pPr>
        <w:spacing w:line="360" w:lineRule="auto"/>
        <w:jc w:val="both"/>
      </w:pPr>
    </w:p>
    <w:p w:rsidR="00C7120B" w:rsidRDefault="00C7120B" w:rsidP="00C7120B">
      <w:pPr>
        <w:spacing w:line="360" w:lineRule="auto"/>
        <w:jc w:val="both"/>
      </w:pPr>
      <w:r>
        <w:t xml:space="preserve">       Jak wynika z zebranych danym empirycznych, problem niepowodzeń szkolnych dotyczy przede wszystkim uczniów pochodzących z rodzin patologicznych. Na ten wariant odpowiedzi wskazało ponad połowa osób ankietowanych (56,0%). Tylko około 12,0% dzieci z zamożnych </w:t>
      </w:r>
      <w:r>
        <w:lastRenderedPageBreak/>
        <w:t>domów doświadcza niepowodzeń edukacyjnych. Co czwarta respondent uznał, że problem dotyka wielu uczniów, chociaż trudno ich skategoryzować.</w:t>
      </w:r>
    </w:p>
    <w:p w:rsidR="00C7120B" w:rsidRDefault="00C7120B" w:rsidP="00C7120B">
      <w:pPr>
        <w:spacing w:line="360" w:lineRule="auto"/>
        <w:jc w:val="both"/>
      </w:pPr>
      <w:r>
        <w:t xml:space="preserve">          Istotną kwestią podjętą w badaniach była sprawa ewentualnych problemów wychowawczych stwarzanych przez dzieci, pochodzące z rodzin o dużym prestiżu społecznym. Zatem starano się rozpoznać czy w przypadku takich uczniów występują tego rodzaju problemy, w czym się przejawiają i jaka jest skala tego zjawiska. Zgromadzony materiał empiryczny dotyczący tej przedmiotowej kwestii zilustrowano graficznie na wykresach 13, 14 oraz 15.</w:t>
      </w:r>
    </w:p>
    <w:p w:rsidR="00C7120B" w:rsidRDefault="00FC615E" w:rsidP="00C7120B">
      <w:pPr>
        <w:spacing w:line="360" w:lineRule="auto"/>
        <w:jc w:val="both"/>
      </w:pPr>
      <w:r>
        <w:tab/>
      </w:r>
      <w:r>
        <w:tab/>
      </w:r>
      <w:r>
        <w:tab/>
      </w:r>
      <w:r>
        <w:tab/>
      </w:r>
      <w:r>
        <w:tab/>
      </w:r>
      <w:r>
        <w:tab/>
      </w:r>
      <w:r>
        <w:tab/>
      </w:r>
      <w:r>
        <w:tab/>
      </w:r>
      <w:r>
        <w:tab/>
      </w:r>
      <w:r>
        <w:tab/>
      </w:r>
      <w:r>
        <w:tab/>
        <w:t xml:space="preserve">     </w:t>
      </w:r>
      <w:r w:rsidRPr="00FC615E">
        <w:t>Wykres 13.</w:t>
      </w:r>
    </w:p>
    <w:p w:rsidR="00C7120B" w:rsidRPr="00FC615E" w:rsidRDefault="00FC615E" w:rsidP="00C7120B">
      <w:r>
        <w:t xml:space="preserve">Temat: </w:t>
      </w:r>
      <w:r w:rsidRPr="00FC615E">
        <w:t>Stwarzanie przez uczniowie z bogatych rodzin prob</w:t>
      </w:r>
      <w:r>
        <w:t xml:space="preserve">lemów natury </w:t>
      </w:r>
      <w:r w:rsidRPr="00FC615E">
        <w:t>wychowawczej</w:t>
      </w:r>
    </w:p>
    <w:p w:rsidR="00C7120B" w:rsidRDefault="00C7120B" w:rsidP="00C7120B">
      <w:pPr>
        <w:jc w:val="center"/>
        <w:rPr>
          <w:sz w:val="22"/>
          <w:szCs w:val="22"/>
        </w:rPr>
      </w:pPr>
      <w:r>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67945</wp:posOffset>
            </wp:positionV>
            <wp:extent cx="5506720" cy="3732530"/>
            <wp:effectExtent l="3175" t="0" r="0" b="4445"/>
            <wp:wrapNone/>
            <wp:docPr id="17" name="Wykres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C7120B" w:rsidRDefault="00C7120B" w:rsidP="00C7120B">
      <w:pPr>
        <w:jc w:val="center"/>
        <w:rPr>
          <w:sz w:val="22"/>
          <w:szCs w:val="22"/>
        </w:rPr>
      </w:pPr>
    </w:p>
    <w:p w:rsidR="00C7120B" w:rsidRDefault="00C7120B" w:rsidP="00C7120B">
      <w:pPr>
        <w:rPr>
          <w:sz w:val="22"/>
          <w:szCs w:val="22"/>
        </w:rPr>
      </w:pPr>
    </w:p>
    <w:p w:rsidR="00C7120B" w:rsidRDefault="00C7120B" w:rsidP="00C7120B">
      <w:pPr>
        <w:tabs>
          <w:tab w:val="left" w:pos="3735"/>
        </w:tabs>
        <w:rPr>
          <w:sz w:val="22"/>
          <w:szCs w:val="22"/>
        </w:rPr>
      </w:pPr>
      <w:r>
        <w:rPr>
          <w:sz w:val="22"/>
          <w:szCs w:val="22"/>
        </w:rPr>
        <w:tab/>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ind w:firstLine="708"/>
        <w:rPr>
          <w:sz w:val="20"/>
          <w:szCs w:val="20"/>
        </w:rPr>
      </w:pPr>
    </w:p>
    <w:p w:rsidR="00C7120B" w:rsidRDefault="00C7120B" w:rsidP="00C7120B">
      <w:pPr>
        <w:ind w:firstLine="708"/>
        <w:rPr>
          <w:sz w:val="20"/>
          <w:szCs w:val="20"/>
        </w:rPr>
      </w:pPr>
    </w:p>
    <w:p w:rsidR="00C7120B" w:rsidRDefault="00C7120B" w:rsidP="00C7120B">
      <w:pPr>
        <w:ind w:firstLine="708"/>
        <w:rPr>
          <w:sz w:val="20"/>
          <w:szCs w:val="20"/>
        </w:rPr>
      </w:pPr>
    </w:p>
    <w:p w:rsidR="00C7120B" w:rsidRDefault="00C7120B" w:rsidP="00C7120B">
      <w:pPr>
        <w:ind w:firstLine="708"/>
        <w:rPr>
          <w:sz w:val="20"/>
          <w:szCs w:val="20"/>
        </w:rPr>
      </w:pPr>
    </w:p>
    <w:p w:rsidR="00C7120B" w:rsidRDefault="00C7120B" w:rsidP="00C7120B">
      <w:pPr>
        <w:ind w:firstLine="708"/>
        <w:rPr>
          <w:sz w:val="20"/>
          <w:szCs w:val="20"/>
        </w:rPr>
      </w:pPr>
    </w:p>
    <w:p w:rsidR="00C7120B" w:rsidRDefault="00C7120B" w:rsidP="00C7120B">
      <w:pPr>
        <w:ind w:firstLine="708"/>
        <w:rPr>
          <w:sz w:val="20"/>
          <w:szCs w:val="20"/>
        </w:rPr>
      </w:pPr>
    </w:p>
    <w:p w:rsidR="00C7120B" w:rsidRDefault="00C7120B" w:rsidP="00C7120B">
      <w:pPr>
        <w:ind w:firstLine="708"/>
        <w:rPr>
          <w:sz w:val="20"/>
          <w:szCs w:val="20"/>
        </w:rPr>
      </w:pPr>
    </w:p>
    <w:p w:rsidR="00C7120B" w:rsidRDefault="00C7120B" w:rsidP="00C7120B">
      <w:pPr>
        <w:ind w:firstLine="708"/>
        <w:rPr>
          <w:sz w:val="20"/>
          <w:szCs w:val="20"/>
        </w:rPr>
      </w:pPr>
    </w:p>
    <w:p w:rsidR="00C7120B" w:rsidRDefault="00C7120B" w:rsidP="00C7120B">
      <w:pPr>
        <w:ind w:firstLine="708"/>
        <w:rPr>
          <w:sz w:val="20"/>
          <w:szCs w:val="20"/>
        </w:rPr>
      </w:pPr>
    </w:p>
    <w:p w:rsidR="00C7120B" w:rsidRPr="0094008B" w:rsidRDefault="00C7120B" w:rsidP="00C7120B">
      <w:pPr>
        <w:rPr>
          <w:sz w:val="20"/>
          <w:szCs w:val="20"/>
        </w:rPr>
      </w:pPr>
      <w:r>
        <w:rPr>
          <w:sz w:val="20"/>
          <w:szCs w:val="20"/>
        </w:rPr>
        <w:t xml:space="preserve">  </w:t>
      </w:r>
    </w:p>
    <w:p w:rsidR="00C7120B" w:rsidRDefault="00C7120B" w:rsidP="00C7120B">
      <w:pPr>
        <w:spacing w:line="360" w:lineRule="auto"/>
        <w:rPr>
          <w:sz w:val="20"/>
          <w:szCs w:val="20"/>
        </w:rPr>
      </w:pPr>
      <w:r>
        <w:rPr>
          <w:sz w:val="20"/>
          <w:szCs w:val="20"/>
        </w:rPr>
        <w:t xml:space="preserve">  Źródło: Opracowanie własne na podstawie danych z ankiety</w:t>
      </w:r>
    </w:p>
    <w:p w:rsidR="00C7120B" w:rsidRDefault="00C7120B" w:rsidP="00C7120B">
      <w:pPr>
        <w:rPr>
          <w:sz w:val="20"/>
          <w:szCs w:val="20"/>
        </w:rPr>
      </w:pPr>
    </w:p>
    <w:p w:rsidR="00C7120B" w:rsidRDefault="00C7120B" w:rsidP="00C7120B">
      <w:pPr>
        <w:spacing w:line="360" w:lineRule="auto"/>
        <w:jc w:val="both"/>
      </w:pPr>
      <w:r>
        <w:t xml:space="preserve">          Deklaracje badanych wskazywały na to, że dzieci z rodzin o wysokim statusie społecznym i majątkowym mogą powodować problemy wywoławcze. Nieco ponad połowa respondentów (52,0%) wskazała na wariant „tak” – 22,0% lub „raczej tak” – 30,0%. Jednak spora też grupa nauczycieli objętych badaniem (44,0%) wyraziła odmienne zdanie. Ta część respondentów uznała, że dzieci z zamożnych rodzin nie stwarzają problemów natury wychowawczej. Niewielki odsetek osób ankietowanych (4%) nie zdeklarował się w tej kwestii, o czym świadczy wybór wariantu „trudno powiedzieć”.</w:t>
      </w:r>
    </w:p>
    <w:p w:rsidR="00C7120B" w:rsidRDefault="00C7120B" w:rsidP="00C7120B">
      <w:pPr>
        <w:spacing w:line="360" w:lineRule="auto"/>
        <w:jc w:val="both"/>
      </w:pPr>
      <w:r>
        <w:t xml:space="preserve">          Trudno jest zinterpretować taki rozkład wariantów odpowiedzi. Liczebnie grupa nauczycieli o opinii twierdzącej była analogiczna w stosunku do przeciwników takiego stanowiska. Nieznacznie tylko więcej było osób twierdzących, że dzieci z bogatych </w:t>
      </w:r>
      <w:r>
        <w:br/>
      </w:r>
      <w:r>
        <w:lastRenderedPageBreak/>
        <w:t xml:space="preserve">i ustosunkowanych rodzin powodują swoim zachowanie czy postawą kłopoty </w:t>
      </w:r>
      <w:r>
        <w:br/>
        <w:t>o charakterze wychowawczym.</w:t>
      </w:r>
    </w:p>
    <w:p w:rsidR="00C7120B" w:rsidRDefault="00C7120B" w:rsidP="00C7120B">
      <w:pPr>
        <w:spacing w:line="360" w:lineRule="auto"/>
        <w:jc w:val="both"/>
      </w:pPr>
      <w:r>
        <w:t xml:space="preserve">          Powstała kwestia w czym mogą przejawiać się problemy wychowawcze stwarzane przez uczniów, których rodzice osiągnęli wysoki status społeczny </w:t>
      </w:r>
      <w:r>
        <w:br/>
        <w:t>i majątkowy. Założono, że wyrazem problemów wychowawczych mogą być: niechęć do nauki, lekceważenie obowiązków szkolnych, nadmierne opuszczanie zajęć, nieodpowiednie zachowanie czy zły wpływ na zespół klasowy. Takie też zamieszczono warianty w kafeterii odpowiedzi. Dane w tym zakresie przedstawia wykres 14.</w:t>
      </w:r>
    </w:p>
    <w:p w:rsidR="002B47D7" w:rsidRDefault="002B47D7" w:rsidP="00C7120B">
      <w:pPr>
        <w:spacing w:line="360" w:lineRule="auto"/>
        <w:jc w:val="both"/>
      </w:pPr>
      <w:r>
        <w:tab/>
      </w:r>
      <w:r>
        <w:tab/>
      </w:r>
      <w:r>
        <w:tab/>
      </w:r>
      <w:r>
        <w:tab/>
      </w:r>
      <w:r>
        <w:tab/>
      </w:r>
      <w:r>
        <w:tab/>
      </w:r>
      <w:r>
        <w:tab/>
      </w:r>
      <w:r>
        <w:tab/>
      </w:r>
      <w:r>
        <w:tab/>
      </w:r>
      <w:r>
        <w:tab/>
      </w:r>
      <w:r>
        <w:tab/>
      </w:r>
      <w:r w:rsidRPr="002B47D7">
        <w:t>Wykres 14.</w:t>
      </w:r>
    </w:p>
    <w:p w:rsidR="002B47D7" w:rsidRDefault="002B47D7" w:rsidP="002B47D7">
      <w:pPr>
        <w:spacing w:line="360" w:lineRule="auto"/>
        <w:jc w:val="both"/>
      </w:pPr>
      <w:r>
        <w:t xml:space="preserve">Temat: </w:t>
      </w:r>
      <w:r w:rsidRPr="002B47D7">
        <w:t>Przejawy problemów wychowawczych, k</w:t>
      </w:r>
      <w:r>
        <w:t xml:space="preserve">tóre stwarzają dzieci z rodzin </w:t>
      </w:r>
    </w:p>
    <w:p w:rsidR="002B47D7" w:rsidRDefault="002B47D7" w:rsidP="002B47D7">
      <w:pPr>
        <w:spacing w:line="360" w:lineRule="auto"/>
        <w:jc w:val="both"/>
      </w:pPr>
      <w:r>
        <w:rPr>
          <w:noProof/>
        </w:rPr>
        <w:drawing>
          <wp:anchor distT="0" distB="0" distL="114300" distR="114300" simplePos="0" relativeHeight="251679744" behindDoc="0" locked="0" layoutInCell="1" allowOverlap="1" wp14:anchorId="3796FAB6" wp14:editId="361CEDE9">
            <wp:simplePos x="0" y="0"/>
            <wp:positionH relativeFrom="column">
              <wp:posOffset>0</wp:posOffset>
            </wp:positionH>
            <wp:positionV relativeFrom="paragraph">
              <wp:posOffset>236855</wp:posOffset>
            </wp:positionV>
            <wp:extent cx="5391785" cy="3895725"/>
            <wp:effectExtent l="0" t="0" r="18415" b="9525"/>
            <wp:wrapNone/>
            <wp:docPr id="16" name="Wykres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sidRPr="002B47D7">
        <w:t xml:space="preserve">o wysokim </w:t>
      </w:r>
      <w:r>
        <w:t xml:space="preserve"> </w:t>
      </w:r>
      <w:r w:rsidRPr="002B47D7">
        <w:t>statusie społecznym i majątkowym</w:t>
      </w:r>
    </w:p>
    <w:p w:rsidR="00C7120B" w:rsidRPr="002B47D7" w:rsidRDefault="00C7120B" w:rsidP="002B47D7">
      <w:pPr>
        <w:spacing w:line="360" w:lineRule="auto"/>
        <w:jc w:val="both"/>
      </w:pPr>
    </w:p>
    <w:p w:rsidR="00C7120B" w:rsidRDefault="00C7120B" w:rsidP="00C7120B">
      <w:pPr>
        <w:tabs>
          <w:tab w:val="left" w:pos="1065"/>
        </w:tabs>
        <w:jc w:val="center"/>
        <w:rPr>
          <w:b/>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0"/>
          <w:szCs w:val="20"/>
        </w:rPr>
      </w:pPr>
      <w:r>
        <w:rPr>
          <w:sz w:val="22"/>
          <w:szCs w:val="22"/>
        </w:rPr>
        <w:tab/>
      </w:r>
      <w:r>
        <w:rPr>
          <w:sz w:val="20"/>
          <w:szCs w:val="20"/>
        </w:rPr>
        <w:t xml:space="preserve">   </w:t>
      </w:r>
    </w:p>
    <w:p w:rsidR="00C7120B" w:rsidRDefault="00C7120B" w:rsidP="00C7120B">
      <w:pPr>
        <w:rPr>
          <w:sz w:val="20"/>
          <w:szCs w:val="20"/>
        </w:rPr>
      </w:pPr>
    </w:p>
    <w:p w:rsidR="00C7120B" w:rsidRDefault="00C7120B" w:rsidP="00C7120B">
      <w:pPr>
        <w:rPr>
          <w:sz w:val="20"/>
          <w:szCs w:val="20"/>
        </w:rPr>
      </w:pPr>
    </w:p>
    <w:p w:rsidR="00C7120B" w:rsidRDefault="00C7120B" w:rsidP="00C7120B">
      <w:pPr>
        <w:rPr>
          <w:sz w:val="20"/>
          <w:szCs w:val="20"/>
        </w:rPr>
      </w:pPr>
    </w:p>
    <w:p w:rsidR="00C7120B" w:rsidRDefault="00C7120B" w:rsidP="00C7120B">
      <w:pPr>
        <w:rPr>
          <w:sz w:val="20"/>
          <w:szCs w:val="20"/>
        </w:rPr>
      </w:pPr>
    </w:p>
    <w:p w:rsidR="00C7120B" w:rsidRDefault="00C7120B" w:rsidP="00C7120B">
      <w:pPr>
        <w:rPr>
          <w:sz w:val="20"/>
          <w:szCs w:val="20"/>
        </w:rPr>
      </w:pPr>
    </w:p>
    <w:p w:rsidR="00C7120B" w:rsidRDefault="00C7120B" w:rsidP="00C7120B">
      <w:pPr>
        <w:rPr>
          <w:sz w:val="20"/>
          <w:szCs w:val="20"/>
        </w:rPr>
      </w:pPr>
    </w:p>
    <w:p w:rsidR="00C7120B" w:rsidRDefault="00C7120B" w:rsidP="00C7120B">
      <w:pPr>
        <w:rPr>
          <w:sz w:val="20"/>
          <w:szCs w:val="20"/>
        </w:rPr>
      </w:pPr>
      <w:r>
        <w:rPr>
          <w:sz w:val="20"/>
          <w:szCs w:val="20"/>
        </w:rPr>
        <w:t xml:space="preserve">                    </w:t>
      </w:r>
    </w:p>
    <w:p w:rsidR="00C7120B" w:rsidRPr="002B47D7" w:rsidRDefault="00C7120B" w:rsidP="00C7120B">
      <w:r>
        <w:rPr>
          <w:sz w:val="20"/>
          <w:szCs w:val="20"/>
        </w:rPr>
        <w:t xml:space="preserve">  </w:t>
      </w:r>
    </w:p>
    <w:p w:rsidR="00C7120B" w:rsidRDefault="00C7120B" w:rsidP="00C7120B">
      <w:pPr>
        <w:rPr>
          <w:sz w:val="20"/>
          <w:szCs w:val="20"/>
        </w:rPr>
      </w:pPr>
      <w:r>
        <w:rPr>
          <w:sz w:val="20"/>
          <w:szCs w:val="20"/>
        </w:rPr>
        <w:t xml:space="preserve">  Źródło: Opracowanie własne na podstawie danych z ankiety</w:t>
      </w:r>
    </w:p>
    <w:p w:rsidR="00C7120B" w:rsidRDefault="00C7120B" w:rsidP="00C7120B">
      <w:pPr>
        <w:rPr>
          <w:sz w:val="20"/>
          <w:szCs w:val="20"/>
        </w:rPr>
      </w:pPr>
    </w:p>
    <w:p w:rsidR="00C7120B" w:rsidRDefault="00C7120B" w:rsidP="00C7120B">
      <w:pPr>
        <w:spacing w:line="360" w:lineRule="auto"/>
        <w:jc w:val="both"/>
      </w:pPr>
      <w:r>
        <w:t xml:space="preserve">          Jak wynika z danych zgromadzonych w ankiecie (pyt. 8), respondenci wskazywali na różne warianty, jednak zdecydowanie dominująca okazała się odpowiedź „nieodpowiednie zachowanie”. Ten wariant miał 42,38% wskazań. Na drugim miejscu w hierarchii wyborów znalazł się wariant „lekceważenie obowiązków szkolnych”  (23,17%% wskazań). Niewielka grupa nauczycieli (14,45%) uznała, że największych problemem wychowawczym jest niechęć do nauki. Wariant „zły wpływ na zespół klasowy” został zmarginalizowany w wyborach (7,08% wskazań).</w:t>
      </w:r>
    </w:p>
    <w:p w:rsidR="00C7120B" w:rsidRDefault="00C7120B" w:rsidP="00C7120B">
      <w:pPr>
        <w:spacing w:line="360" w:lineRule="auto"/>
        <w:jc w:val="both"/>
      </w:pPr>
      <w:r>
        <w:lastRenderedPageBreak/>
        <w:t xml:space="preserve">          Reasumując, można stwierdzić, że w ocenie respondentów, problemy wychowawcze, jakie stwarzają uczniowie z rodzin o wysokim statusie społecznym przejawiają się przede wszystkim w ich niewłaściwym zachowaniu. Inne problemy mogą dotyczyć nieodpowiedniego stosunku do obowiązków sz</w:t>
      </w:r>
      <w:r w:rsidR="00B43D62">
        <w:t xml:space="preserve">kolnych, związanych </w:t>
      </w:r>
      <w:r>
        <w:t>z nauką czy niechęć do nauki. Duża nieuzasadniona absencja czy negatywne oddziaływanie na klasę odgrywają mniejsze znaczenie.</w:t>
      </w:r>
    </w:p>
    <w:p w:rsidR="00C7120B" w:rsidRDefault="00C7120B" w:rsidP="00C7120B">
      <w:pPr>
        <w:spacing w:line="360" w:lineRule="auto"/>
        <w:jc w:val="both"/>
      </w:pPr>
      <w:r>
        <w:t xml:space="preserve">          Jakiego odsetka dzieci z zamożnych domów dotyczą problemy wychowawcze? Pytanie takiej treści również zawarte było w ankiecie skierowanej do nauczycieli. Przyjęto cztery przedziały, kategorie tego wskaźnika: do 20%, 20-30%, 40-50% oraz powyżej 50%. Dane w tym zakresie przedstawia wykres nr 15.</w:t>
      </w:r>
    </w:p>
    <w:p w:rsidR="00B43D62" w:rsidRDefault="00B43D62" w:rsidP="00C7120B">
      <w:pPr>
        <w:spacing w:line="360" w:lineRule="auto"/>
        <w:jc w:val="both"/>
      </w:pPr>
      <w:r>
        <w:tab/>
      </w:r>
      <w:r>
        <w:tab/>
      </w:r>
      <w:r>
        <w:tab/>
      </w:r>
      <w:r>
        <w:tab/>
      </w:r>
      <w:r>
        <w:tab/>
      </w:r>
      <w:r>
        <w:tab/>
      </w:r>
      <w:r>
        <w:tab/>
      </w:r>
      <w:r>
        <w:tab/>
      </w:r>
      <w:r>
        <w:tab/>
      </w:r>
      <w:r>
        <w:tab/>
      </w:r>
      <w:r>
        <w:tab/>
        <w:t xml:space="preserve">       </w:t>
      </w:r>
      <w:r w:rsidRPr="00B43D62">
        <w:t>Wykres 15.</w:t>
      </w:r>
    </w:p>
    <w:p w:rsidR="00C7120B" w:rsidRPr="00E61DA6" w:rsidRDefault="00B43D62" w:rsidP="00E61DA6">
      <w:pPr>
        <w:spacing w:line="360" w:lineRule="auto"/>
      </w:pPr>
      <w:r>
        <w:t xml:space="preserve">Temat: </w:t>
      </w:r>
      <w:r w:rsidRPr="00B43D62">
        <w:t xml:space="preserve">Odsetek uczniów z bogatych rodzin stwarzających problemy wychowawcze </w:t>
      </w:r>
    </w:p>
    <w:p w:rsidR="00C7120B" w:rsidRDefault="00C7120B" w:rsidP="00C7120B">
      <w:pPr>
        <w:rPr>
          <w:sz w:val="22"/>
          <w:szCs w:val="22"/>
        </w:rPr>
      </w:pPr>
      <w:r>
        <w:rPr>
          <w:noProof/>
        </w:rPr>
        <w:drawing>
          <wp:anchor distT="0" distB="0" distL="114300" distR="114300" simplePos="0" relativeHeight="251674624" behindDoc="0" locked="0" layoutInCell="1" allowOverlap="1">
            <wp:simplePos x="0" y="0"/>
            <wp:positionH relativeFrom="column">
              <wp:posOffset>0</wp:posOffset>
            </wp:positionH>
            <wp:positionV relativeFrom="paragraph">
              <wp:posOffset>13335</wp:posOffset>
            </wp:positionV>
            <wp:extent cx="5501005" cy="3563620"/>
            <wp:effectExtent l="3175" t="1905" r="1270" b="0"/>
            <wp:wrapNone/>
            <wp:docPr id="15" name="Wykres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0"/>
          <w:szCs w:val="20"/>
        </w:rPr>
      </w:pPr>
      <w:r>
        <w:rPr>
          <w:sz w:val="22"/>
          <w:szCs w:val="22"/>
        </w:rPr>
        <w:tab/>
      </w:r>
      <w:r>
        <w:rPr>
          <w:sz w:val="20"/>
          <w:szCs w:val="20"/>
        </w:rPr>
        <w:t xml:space="preserve">  </w:t>
      </w:r>
    </w:p>
    <w:p w:rsidR="00B43D62" w:rsidRDefault="00C7120B" w:rsidP="00C7120B">
      <w:pPr>
        <w:spacing w:line="360" w:lineRule="auto"/>
        <w:rPr>
          <w:b/>
          <w:sz w:val="22"/>
          <w:szCs w:val="22"/>
        </w:rPr>
      </w:pPr>
      <w:r>
        <w:rPr>
          <w:b/>
          <w:sz w:val="22"/>
          <w:szCs w:val="22"/>
        </w:rPr>
        <w:t xml:space="preserve"> </w:t>
      </w:r>
    </w:p>
    <w:p w:rsidR="00C7120B" w:rsidRDefault="00C7120B" w:rsidP="00C7120B">
      <w:pPr>
        <w:spacing w:line="360" w:lineRule="auto"/>
        <w:rPr>
          <w:sz w:val="20"/>
          <w:szCs w:val="20"/>
        </w:rPr>
      </w:pPr>
      <w:r>
        <w:rPr>
          <w:sz w:val="20"/>
          <w:szCs w:val="20"/>
        </w:rPr>
        <w:t xml:space="preserve">  Źródło: Opracowanie własne na podstawie danych z ankiety</w:t>
      </w:r>
    </w:p>
    <w:p w:rsidR="00C7120B" w:rsidRDefault="00C7120B" w:rsidP="00C7120B">
      <w:pPr>
        <w:tabs>
          <w:tab w:val="left" w:pos="1140"/>
        </w:tabs>
        <w:rPr>
          <w:sz w:val="22"/>
          <w:szCs w:val="22"/>
        </w:rPr>
      </w:pPr>
    </w:p>
    <w:p w:rsidR="00C7120B" w:rsidRDefault="00C7120B" w:rsidP="00C7120B">
      <w:pPr>
        <w:spacing w:line="360" w:lineRule="auto"/>
        <w:jc w:val="both"/>
      </w:pPr>
      <w:r>
        <w:t xml:space="preserve">          Zgodnie z deklaracjami największej części respondentów (42,0%), uczniów  pochodzących z rodzin o wysokim prestiżu społecznym a powodujących problemy wychowawcze jest przeciętnie do 20,0% w stosunku do ogółu takich dzieci. Druga co do liczebności grupa nauczycieli stwierdziła, ze może być ich średnio 20-30%. Co dziesiąta osoba ankietowała uznała, że ich przeciętnie 40-50%. Najmniejsza część nauczycieli wyraziła zdanie, ze jest ich mniej niż 10%. Nieliczne osoby nie ustosunkowały się do kwestii („trudno powiedzieć” – 4,0%).</w:t>
      </w:r>
    </w:p>
    <w:p w:rsidR="00C7120B" w:rsidRDefault="00C7120B" w:rsidP="00C7120B">
      <w:pPr>
        <w:spacing w:line="360" w:lineRule="auto"/>
        <w:jc w:val="both"/>
      </w:pPr>
      <w:r>
        <w:lastRenderedPageBreak/>
        <w:t xml:space="preserve">          Dokonując podsumowania, można stwierdzić, że odsetek uczniów z rodzin </w:t>
      </w:r>
      <w:r>
        <w:br/>
        <w:t>o wysokim prestiżu społecznym sprawiających problemy wychowawcze wynosi około 20% ogółu takich dzieci, czyli dotyczy on średnio co piątego dziecka.</w:t>
      </w:r>
    </w:p>
    <w:p w:rsidR="00C7120B" w:rsidRDefault="00C7120B" w:rsidP="00C7120B">
      <w:pPr>
        <w:spacing w:line="360" w:lineRule="auto"/>
        <w:jc w:val="both"/>
      </w:pPr>
      <w:r>
        <w:t xml:space="preserve">          Pragnąc pogłębić rozważany wcześniej wątek, zamierzano rozpoznać czy uczniowie z rodzin zamożnych i o wysokim statusie społecznym, opuszczają zajęcia bez żadnego uzasadnienia (wagary), a jeśli tak, to jak często to czynią. zatem zadano respondentom pytanie odpowiedniej treści. Uzyskane dane z odpowiedzi zilustrowano graficznie na wykresie 16</w:t>
      </w:r>
    </w:p>
    <w:p w:rsidR="005E71DC" w:rsidRDefault="005E71DC" w:rsidP="005E71DC">
      <w:r>
        <w:tab/>
      </w:r>
      <w:r>
        <w:tab/>
      </w:r>
      <w:r>
        <w:tab/>
      </w:r>
      <w:r>
        <w:tab/>
      </w:r>
      <w:r>
        <w:tab/>
      </w:r>
      <w:r>
        <w:tab/>
      </w:r>
      <w:r>
        <w:tab/>
      </w:r>
      <w:r>
        <w:tab/>
      </w:r>
      <w:r>
        <w:tab/>
      </w:r>
      <w:r>
        <w:tab/>
      </w:r>
      <w:r>
        <w:tab/>
      </w:r>
      <w:r w:rsidRPr="005E71DC">
        <w:t>Wykres 16.</w:t>
      </w:r>
    </w:p>
    <w:p w:rsidR="005E71DC" w:rsidRDefault="005E71DC" w:rsidP="005E71DC">
      <w:r>
        <w:t xml:space="preserve">Temat: </w:t>
      </w:r>
      <w:r w:rsidRPr="005E71DC">
        <w:t xml:space="preserve">Częstotliwość opuszczania zajęć bez uzasadnienia przez dzieci z zamożnych </w:t>
      </w:r>
      <w:r w:rsidRPr="005E71DC">
        <w:br/>
        <w:t xml:space="preserve">                      rodzin (wagary)</w:t>
      </w:r>
    </w:p>
    <w:p w:rsidR="00C7120B" w:rsidRDefault="00C7120B" w:rsidP="005E71DC">
      <w:r>
        <w:rPr>
          <w:noProof/>
        </w:rPr>
        <w:drawing>
          <wp:anchor distT="0" distB="0" distL="114300" distR="114300" simplePos="0" relativeHeight="251664384" behindDoc="0" locked="0" layoutInCell="1" allowOverlap="1" wp14:anchorId="58085A7D" wp14:editId="538449CC">
            <wp:simplePos x="0" y="0"/>
            <wp:positionH relativeFrom="column">
              <wp:posOffset>0</wp:posOffset>
            </wp:positionH>
            <wp:positionV relativeFrom="paragraph">
              <wp:posOffset>46752</wp:posOffset>
            </wp:positionV>
            <wp:extent cx="5495925" cy="3743325"/>
            <wp:effectExtent l="0" t="0" r="9525" b="9525"/>
            <wp:wrapNone/>
            <wp:docPr id="14" name="Wykres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5E71DC" w:rsidRDefault="00C7120B" w:rsidP="00C7120B">
      <w:pPr>
        <w:rPr>
          <w:sz w:val="20"/>
          <w:szCs w:val="20"/>
        </w:rPr>
      </w:pPr>
      <w:r>
        <w:rPr>
          <w:sz w:val="20"/>
          <w:szCs w:val="20"/>
        </w:rPr>
        <w:t xml:space="preserve">           </w:t>
      </w:r>
    </w:p>
    <w:p w:rsidR="00C7120B" w:rsidRDefault="00C7120B" w:rsidP="00C7120B">
      <w:pPr>
        <w:rPr>
          <w:sz w:val="20"/>
          <w:szCs w:val="20"/>
        </w:rPr>
      </w:pPr>
      <w:r>
        <w:rPr>
          <w:sz w:val="20"/>
          <w:szCs w:val="20"/>
        </w:rPr>
        <w:t xml:space="preserve">  Źródło: Opracowanie własne na podstawie danych z ankiety</w:t>
      </w:r>
    </w:p>
    <w:p w:rsidR="00C7120B" w:rsidRDefault="00C7120B" w:rsidP="00C7120B">
      <w:pPr>
        <w:spacing w:line="360" w:lineRule="auto"/>
        <w:jc w:val="both"/>
      </w:pPr>
    </w:p>
    <w:p w:rsidR="00C7120B" w:rsidRDefault="00C7120B" w:rsidP="00C7120B">
      <w:pPr>
        <w:spacing w:line="360" w:lineRule="auto"/>
        <w:jc w:val="both"/>
      </w:pPr>
      <w:r>
        <w:t xml:space="preserve">          Przyjęto, że nadmierna, nieuzasadniona absencja jest dość istotnym wskaźnikiem. Może on być zarówno przejawem problemów wychowawczych, jakie stwarza dany uczeń, a jednocześnie warunkować (determinować) jego problemy w uczeniu się. Dlatego postanowiono oddzielnie określić wielkość tego wskaźnika.</w:t>
      </w:r>
    </w:p>
    <w:p w:rsidR="00C7120B" w:rsidRDefault="00C7120B" w:rsidP="00C7120B">
      <w:pPr>
        <w:spacing w:line="360" w:lineRule="auto"/>
        <w:jc w:val="both"/>
      </w:pPr>
      <w:r>
        <w:t xml:space="preserve">          Ponad 1/3 nauczycieli objętych badaniem (36,0%) zadeklarowała, że tacy uczniowie wagarują rzadko. Niemal 1/5 osób z badanej populacji (18%) uznała, że skala tego zjawiska jest duża („często”). Część respondentów wskazało na wariant „bardzo rzadko” (12,0%), zaś najmniejsza grupa na „bardzo często” (6,0%), jednak były to głosy marginalne. Co czwarta osoba wyraziła opinię, że uczniowie z majętnych rodzin prawie w ogóle lub wcale nie opuszczają zajęć bez usprawiedliwienia ze strony rodziców.</w:t>
      </w:r>
    </w:p>
    <w:p w:rsidR="00C7120B" w:rsidRDefault="00C7120B" w:rsidP="00C7120B">
      <w:pPr>
        <w:spacing w:line="360" w:lineRule="auto"/>
        <w:jc w:val="both"/>
      </w:pPr>
      <w:r>
        <w:lastRenderedPageBreak/>
        <w:t xml:space="preserve">          Jak wcześniej stwierdzono, dzieci z rodzin o wysokim prestiżu społecznym, stwarzają rozliczne problemy wychowawcze. Głownie wyraża się to w niewłaściwym zachowaniu i lekceważeniu obowiązków szkolnych. skala tego zjawiska nie jest jednak wysoka. Ustalono, że problemy wychowawcze dotyczą </w:t>
      </w:r>
      <w:r w:rsidR="009470C1">
        <w:t xml:space="preserve">przeciętnie  około 1/5 uczniów </w:t>
      </w:r>
      <w:r>
        <w:t>z takich rodzin.</w:t>
      </w:r>
    </w:p>
    <w:p w:rsidR="00C7120B" w:rsidRDefault="00C7120B" w:rsidP="00C7120B">
      <w:pPr>
        <w:spacing w:line="360" w:lineRule="auto"/>
        <w:jc w:val="both"/>
      </w:pPr>
      <w:r>
        <w:t xml:space="preserve">          W kontekście powyższych danych interesującą kwestią wydało się czy problemy wychowawcze z dziećmi z rodzin o wysokim statusie społecznym i materialnym są </w:t>
      </w:r>
      <w:r>
        <w:br/>
        <w:t>w stosunku do ogółu uczniów większe, mniejszy, czy też nie ma istotnej różnicy pomiędzy tymi kategoriami uczniów. Ustalenia poczynione w tym zakresie ilustruje wykres 17.</w:t>
      </w:r>
    </w:p>
    <w:p w:rsidR="009470C1" w:rsidRDefault="009470C1" w:rsidP="00C7120B">
      <w:pPr>
        <w:spacing w:line="360" w:lineRule="auto"/>
        <w:jc w:val="both"/>
      </w:pPr>
      <w:r>
        <w:tab/>
      </w:r>
      <w:r>
        <w:tab/>
      </w:r>
      <w:r>
        <w:tab/>
      </w:r>
      <w:r>
        <w:tab/>
      </w:r>
      <w:r>
        <w:tab/>
      </w:r>
      <w:r>
        <w:tab/>
      </w:r>
      <w:r>
        <w:tab/>
      </w:r>
      <w:r>
        <w:tab/>
      </w:r>
      <w:r>
        <w:tab/>
      </w:r>
      <w:r>
        <w:tab/>
      </w:r>
      <w:r>
        <w:tab/>
        <w:t xml:space="preserve">     </w:t>
      </w:r>
      <w:r w:rsidRPr="009470C1">
        <w:t>Wykres 17.</w:t>
      </w:r>
    </w:p>
    <w:p w:rsidR="009470C1" w:rsidRDefault="009470C1" w:rsidP="00C7120B">
      <w:pPr>
        <w:spacing w:line="360" w:lineRule="auto"/>
        <w:jc w:val="both"/>
      </w:pPr>
      <w:r>
        <w:t xml:space="preserve">Temat: </w:t>
      </w:r>
      <w:r w:rsidRPr="009470C1">
        <w:t>Rozmiar problemów wychowawczych dzie</w:t>
      </w:r>
      <w:r>
        <w:t xml:space="preserve">ci z rodzin dobrze sytuowanych </w:t>
      </w:r>
    </w:p>
    <w:p w:rsidR="00C7120B" w:rsidRDefault="009470C1" w:rsidP="00C7120B">
      <w:pPr>
        <w:spacing w:line="360" w:lineRule="auto"/>
        <w:jc w:val="both"/>
      </w:pPr>
      <w:r>
        <w:t xml:space="preserve">         </w:t>
      </w:r>
      <w:r w:rsidRPr="009470C1">
        <w:t xml:space="preserve">  w stosunku do ogółu uczniów</w:t>
      </w:r>
      <w:r>
        <w:rPr>
          <w:noProof/>
        </w:rPr>
        <w:t xml:space="preserve"> </w:t>
      </w:r>
      <w:r w:rsidR="00C7120B">
        <w:rPr>
          <w:noProof/>
        </w:rPr>
        <w:drawing>
          <wp:anchor distT="0" distB="0" distL="114300" distR="114300" simplePos="0" relativeHeight="251665408" behindDoc="0" locked="0" layoutInCell="1" allowOverlap="1">
            <wp:simplePos x="0" y="0"/>
            <wp:positionH relativeFrom="column">
              <wp:posOffset>0</wp:posOffset>
            </wp:positionH>
            <wp:positionV relativeFrom="paragraph">
              <wp:posOffset>217170</wp:posOffset>
            </wp:positionV>
            <wp:extent cx="5495925" cy="3732530"/>
            <wp:effectExtent l="3175" t="5080" r="0" b="0"/>
            <wp:wrapNone/>
            <wp:docPr id="13" name="Wykres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r>
        <w:rPr>
          <w:sz w:val="22"/>
          <w:szCs w:val="22"/>
        </w:rPr>
        <w:tab/>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0"/>
          <w:szCs w:val="20"/>
        </w:rPr>
      </w:pPr>
    </w:p>
    <w:p w:rsidR="00C7120B" w:rsidRPr="009470C1" w:rsidRDefault="00C7120B" w:rsidP="00C7120B">
      <w:r>
        <w:rPr>
          <w:sz w:val="20"/>
          <w:szCs w:val="20"/>
        </w:rPr>
        <w:t xml:space="preserve">  </w:t>
      </w:r>
    </w:p>
    <w:p w:rsidR="00C7120B" w:rsidRDefault="00C7120B" w:rsidP="00C7120B">
      <w:pPr>
        <w:rPr>
          <w:sz w:val="20"/>
          <w:szCs w:val="20"/>
        </w:rPr>
      </w:pPr>
      <w:r>
        <w:rPr>
          <w:sz w:val="20"/>
          <w:szCs w:val="20"/>
        </w:rPr>
        <w:t xml:space="preserve">  Źródło: Opracowanie własne na podstawie danych z ankiety</w:t>
      </w:r>
    </w:p>
    <w:p w:rsidR="00C7120B" w:rsidRDefault="00C7120B" w:rsidP="00C7120B">
      <w:pPr>
        <w:spacing w:line="360" w:lineRule="auto"/>
        <w:jc w:val="both"/>
      </w:pPr>
    </w:p>
    <w:p w:rsidR="00C7120B" w:rsidRDefault="00C7120B" w:rsidP="00C7120B">
      <w:pPr>
        <w:spacing w:line="360" w:lineRule="auto"/>
        <w:jc w:val="both"/>
      </w:pPr>
      <w:r>
        <w:t xml:space="preserve">          Jak wynika z zaprezentowanych danych, prawie 2/3 nauczycieli (60,0%) stwierdziło, że są one większe, zaś co trzeci badany uznał, że nie ma większej różnicy pomiędzy uczniami w obrębie danych typologii. Nikt z osób ankietowanych nie wskazał na wariant „mniejsze”. Kilka osób nie było w stanie udzielić konkretnej odpowiedzi („trudno powiedzieć” – 6,0%).</w:t>
      </w:r>
    </w:p>
    <w:p w:rsidR="00C7120B" w:rsidRDefault="00C7120B" w:rsidP="00C7120B">
      <w:pPr>
        <w:spacing w:line="360" w:lineRule="auto"/>
        <w:jc w:val="both"/>
      </w:pPr>
      <w:r>
        <w:t xml:space="preserve">          Zatem jest podstawa do konstatacji, że uczniowie z rodzin stojących stosunkowo wysoko w hierarchii społecznej sprawiają nieco większe kłopoty natury wychowawczej niż ogół uczniów.</w:t>
      </w:r>
    </w:p>
    <w:p w:rsidR="00C7120B" w:rsidRDefault="00C7120B" w:rsidP="00C7120B">
      <w:pPr>
        <w:spacing w:line="360" w:lineRule="auto"/>
        <w:jc w:val="both"/>
      </w:pPr>
      <w:r>
        <w:lastRenderedPageBreak/>
        <w:t xml:space="preserve">          Jednym z problemów wychowawczych może być też nieodpowiedni stosunek ucznia do nauczyciela. Ten problem również został podjęty w badaniu. Chodziło oczywiście o to czy dzieci z rodzin, które osiągnęły wysoki status społeczny </w:t>
      </w:r>
      <w:r>
        <w:br/>
        <w:t>i finansowy, stworzyły właściwe relacje ze swoimi przełożonymi w szkole. Jeśli ten stosunek jest nieodpowiedni, to na czym polegają te trudności i jak często zdarzają się takie sytuacje. Zgromadzony materiał empiryczny przedstawiono na wykresach 18, 19 oraz 20.</w:t>
      </w:r>
    </w:p>
    <w:p w:rsidR="008C4236" w:rsidRDefault="008C4236" w:rsidP="00C7120B">
      <w:pPr>
        <w:spacing w:line="360" w:lineRule="auto"/>
        <w:jc w:val="both"/>
      </w:pPr>
      <w:r>
        <w:tab/>
      </w:r>
      <w:r>
        <w:tab/>
      </w:r>
      <w:r>
        <w:tab/>
      </w:r>
      <w:r>
        <w:tab/>
      </w:r>
      <w:r>
        <w:tab/>
      </w:r>
      <w:r>
        <w:tab/>
      </w:r>
      <w:r>
        <w:tab/>
      </w:r>
      <w:r>
        <w:tab/>
      </w:r>
      <w:r>
        <w:tab/>
      </w:r>
      <w:r>
        <w:tab/>
      </w:r>
      <w:r>
        <w:tab/>
        <w:t xml:space="preserve">     </w:t>
      </w:r>
      <w:r w:rsidRPr="008C4236">
        <w:t>Wykres 18.</w:t>
      </w:r>
    </w:p>
    <w:p w:rsidR="008C4236" w:rsidRDefault="008C4236" w:rsidP="008C4236">
      <w:pPr>
        <w:tabs>
          <w:tab w:val="left" w:pos="3675"/>
        </w:tabs>
      </w:pPr>
      <w:r>
        <w:t xml:space="preserve">Temat: </w:t>
      </w:r>
      <w:r w:rsidRPr="008C4236">
        <w:t xml:space="preserve">Właściwy stosunek do nauczyciela uczniów z rodzin zamożnych o wysokim </w:t>
      </w:r>
      <w:r w:rsidRPr="008C4236">
        <w:br/>
        <w:t xml:space="preserve">             statusie społecznym </w:t>
      </w:r>
    </w:p>
    <w:p w:rsidR="00C7120B" w:rsidRDefault="008C4236" w:rsidP="00C7120B">
      <w:pPr>
        <w:tabs>
          <w:tab w:val="left" w:pos="3675"/>
        </w:tabs>
        <w:rPr>
          <w:b/>
          <w:sz w:val="22"/>
          <w:szCs w:val="22"/>
        </w:rPr>
      </w:pPr>
      <w:r>
        <w:rPr>
          <w:noProof/>
        </w:rPr>
        <w:drawing>
          <wp:anchor distT="0" distB="0" distL="114300" distR="114300" simplePos="0" relativeHeight="251666432" behindDoc="0" locked="0" layoutInCell="1" allowOverlap="1" wp14:anchorId="5185CECD" wp14:editId="155B6FA8">
            <wp:simplePos x="0" y="0"/>
            <wp:positionH relativeFrom="column">
              <wp:posOffset>-109855</wp:posOffset>
            </wp:positionH>
            <wp:positionV relativeFrom="paragraph">
              <wp:posOffset>81280</wp:posOffset>
            </wp:positionV>
            <wp:extent cx="5491480" cy="3539490"/>
            <wp:effectExtent l="0" t="0" r="13970" b="22860"/>
            <wp:wrapNone/>
            <wp:docPr id="12" name="Wykres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8C4236" w:rsidRDefault="008C4236" w:rsidP="00C7120B">
      <w:pPr>
        <w:tabs>
          <w:tab w:val="left" w:pos="3675"/>
        </w:tabs>
        <w:rPr>
          <w:b/>
          <w:sz w:val="22"/>
          <w:szCs w:val="22"/>
        </w:rPr>
      </w:pPr>
    </w:p>
    <w:p w:rsidR="008C4236" w:rsidRDefault="008C4236" w:rsidP="00C7120B">
      <w:pPr>
        <w:tabs>
          <w:tab w:val="left" w:pos="3675"/>
        </w:tabs>
        <w:rPr>
          <w:b/>
          <w:sz w:val="22"/>
          <w:szCs w:val="22"/>
        </w:rPr>
      </w:pPr>
    </w:p>
    <w:p w:rsidR="008C4236" w:rsidRDefault="008C4236" w:rsidP="00C7120B">
      <w:pPr>
        <w:tabs>
          <w:tab w:val="left" w:pos="3675"/>
        </w:tabs>
        <w:rPr>
          <w:b/>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0"/>
          <w:szCs w:val="20"/>
        </w:rPr>
      </w:pPr>
      <w:r>
        <w:rPr>
          <w:sz w:val="22"/>
          <w:szCs w:val="22"/>
        </w:rPr>
        <w:tab/>
      </w:r>
      <w:r>
        <w:rPr>
          <w:sz w:val="20"/>
          <w:szCs w:val="20"/>
        </w:rPr>
        <w:t xml:space="preserve">  </w:t>
      </w:r>
    </w:p>
    <w:p w:rsidR="00C7120B" w:rsidRDefault="00C7120B" w:rsidP="00C7120B">
      <w:pPr>
        <w:rPr>
          <w:sz w:val="20"/>
          <w:szCs w:val="20"/>
        </w:rPr>
      </w:pPr>
    </w:p>
    <w:p w:rsidR="00C7120B" w:rsidRDefault="00C7120B" w:rsidP="00C7120B">
      <w:pPr>
        <w:rPr>
          <w:sz w:val="20"/>
          <w:szCs w:val="20"/>
        </w:rPr>
      </w:pPr>
      <w:r>
        <w:rPr>
          <w:sz w:val="20"/>
          <w:szCs w:val="20"/>
        </w:rPr>
        <w:t xml:space="preserve"> Źródło: Opracowanie własne na podstawie danych z ankiety</w:t>
      </w:r>
    </w:p>
    <w:p w:rsidR="00C7120B" w:rsidRDefault="00C7120B" w:rsidP="00C7120B">
      <w:pPr>
        <w:spacing w:line="360" w:lineRule="auto"/>
        <w:jc w:val="both"/>
      </w:pPr>
    </w:p>
    <w:p w:rsidR="00C7120B" w:rsidRDefault="00C7120B" w:rsidP="00C7120B">
      <w:pPr>
        <w:spacing w:line="360" w:lineRule="auto"/>
        <w:jc w:val="both"/>
      </w:pPr>
      <w:r>
        <w:t xml:space="preserve">          Jak to uwidaczniają dane na wykresie 18, na pytanie czy uczniowie mają odpowiedni stosunek do nauczyciela, twierdząco odpowiedziało niemal 2/3 badanych (64,0%). Część osób z tej grupy była o tym zupełnie przekonana („tak” – 26,0%), </w:t>
      </w:r>
      <w:r>
        <w:br/>
        <w:t>a pozostali byli w swojej opinii nieco mniej stanowczy („raczej tak” – 38,0%). Na problemy związane z niewłaściwymi relacjami uczniów z nauczycielem wskazał prawie co trzeci respondent („raczej nie” – 22,0%, „nie” – 10,0%). Najmniejszy odsetek osób nie udzielił jednoznacznej odpowiedzi („trudno powiedzieć” – 4,0%).</w:t>
      </w:r>
    </w:p>
    <w:p w:rsidR="00C7120B" w:rsidRDefault="00C7120B" w:rsidP="00C7120B">
      <w:pPr>
        <w:spacing w:line="360" w:lineRule="auto"/>
        <w:jc w:val="both"/>
      </w:pPr>
      <w:r>
        <w:t xml:space="preserve">          Tak ukształtowana proporcja odpowiedzi świadczy i istnieniu pewnych problemów, związanych z niewłaściwą postawą dzieci wobec nauczycieli, jakkolwiek dotyczyło to przeciętnie tylko co trzeciego ucznia. W tej sytuacji należało określić, na czym te trudności </w:t>
      </w:r>
      <w:r>
        <w:lastRenderedPageBreak/>
        <w:t xml:space="preserve">polegają i jaka jest ich skala. Dane na ten temat ilustrują wykresy 19 </w:t>
      </w:r>
      <w:r>
        <w:br/>
        <w:t>i 20.</w:t>
      </w:r>
    </w:p>
    <w:p w:rsidR="00C45635" w:rsidRDefault="00C45635" w:rsidP="00C45635">
      <w:pPr>
        <w:tabs>
          <w:tab w:val="left" w:pos="2130"/>
        </w:tabs>
      </w:pPr>
      <w:r>
        <w:tab/>
      </w:r>
      <w:r>
        <w:tab/>
      </w:r>
      <w:r>
        <w:tab/>
      </w:r>
      <w:r>
        <w:tab/>
      </w:r>
      <w:r>
        <w:tab/>
      </w:r>
      <w:r>
        <w:tab/>
      </w:r>
      <w:r>
        <w:tab/>
      </w:r>
      <w:r>
        <w:tab/>
      </w:r>
      <w:r>
        <w:tab/>
      </w:r>
      <w:r w:rsidRPr="00A1054F">
        <w:t>Wykres 19.</w:t>
      </w:r>
    </w:p>
    <w:p w:rsidR="00C45635" w:rsidRPr="00A1054F" w:rsidRDefault="00C45635" w:rsidP="00C45635">
      <w:pPr>
        <w:tabs>
          <w:tab w:val="left" w:pos="2130"/>
        </w:tabs>
      </w:pPr>
      <w:r>
        <w:t xml:space="preserve">Temat: </w:t>
      </w:r>
      <w:r w:rsidRPr="00A1054F">
        <w:t>Przejawy niewłaściwego stosunku do nauczyciela</w:t>
      </w:r>
    </w:p>
    <w:p w:rsidR="00C7120B" w:rsidRDefault="00C7120B" w:rsidP="00C7120B">
      <w:pPr>
        <w:spacing w:line="360" w:lineRule="auto"/>
        <w:jc w:val="both"/>
      </w:pPr>
      <w:r>
        <w:rPr>
          <w:noProof/>
        </w:rPr>
        <w:drawing>
          <wp:anchor distT="0" distB="0" distL="114300" distR="114300" simplePos="0" relativeHeight="251680768" behindDoc="0" locked="0" layoutInCell="1" allowOverlap="1" wp14:anchorId="3269B701" wp14:editId="1C9E7789">
            <wp:simplePos x="0" y="0"/>
            <wp:positionH relativeFrom="column">
              <wp:posOffset>-114300</wp:posOffset>
            </wp:positionH>
            <wp:positionV relativeFrom="paragraph">
              <wp:posOffset>125730</wp:posOffset>
            </wp:positionV>
            <wp:extent cx="5734685" cy="3895725"/>
            <wp:effectExtent l="3175" t="0" r="0" b="4445"/>
            <wp:wrapNone/>
            <wp:docPr id="11" name="Wykres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p>
    <w:p w:rsidR="00C7120B" w:rsidRDefault="00C7120B" w:rsidP="00C7120B">
      <w:pPr>
        <w:tabs>
          <w:tab w:val="left" w:pos="930"/>
        </w:tabs>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2"/>
          <w:szCs w:val="22"/>
        </w:rPr>
      </w:pPr>
      <w:r>
        <w:rPr>
          <w:sz w:val="22"/>
          <w:szCs w:val="22"/>
        </w:rPr>
        <w:t xml:space="preserve">          </w:t>
      </w:r>
    </w:p>
    <w:p w:rsidR="00C7120B" w:rsidRDefault="00C7120B" w:rsidP="00C7120B">
      <w:pPr>
        <w:tabs>
          <w:tab w:val="left" w:pos="2130"/>
        </w:tabs>
        <w:rPr>
          <w:sz w:val="22"/>
          <w:szCs w:val="22"/>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r>
        <w:rPr>
          <w:sz w:val="20"/>
          <w:szCs w:val="20"/>
        </w:rPr>
        <w:t xml:space="preserve">  </w:t>
      </w:r>
    </w:p>
    <w:p w:rsidR="00C7120B" w:rsidRDefault="00C7120B" w:rsidP="00C7120B">
      <w:pPr>
        <w:tabs>
          <w:tab w:val="left" w:pos="2130"/>
        </w:tabs>
        <w:spacing w:line="360" w:lineRule="auto"/>
        <w:rPr>
          <w:sz w:val="22"/>
          <w:szCs w:val="22"/>
        </w:rPr>
      </w:pPr>
      <w:r>
        <w:rPr>
          <w:sz w:val="20"/>
          <w:szCs w:val="20"/>
        </w:rPr>
        <w:t>Źródło: Opracowanie własne na podstawie danych z ankiety</w:t>
      </w:r>
    </w:p>
    <w:p w:rsidR="00C7120B" w:rsidRDefault="00C7120B" w:rsidP="00C7120B">
      <w:pPr>
        <w:rPr>
          <w:sz w:val="22"/>
          <w:szCs w:val="22"/>
        </w:rPr>
      </w:pPr>
    </w:p>
    <w:p w:rsidR="00C7120B" w:rsidRDefault="00C7120B" w:rsidP="00C7120B">
      <w:pPr>
        <w:spacing w:line="360" w:lineRule="auto"/>
        <w:jc w:val="both"/>
      </w:pPr>
      <w:r>
        <w:t xml:space="preserve">         Na podstawie deklaracji respondentów ustalono, ze niewłaściwy stosunek do nauczycieli może przejawiać się w różnorodny sposób. Jednak dzieci z rodzin</w:t>
      </w:r>
      <w:r>
        <w:br/>
        <w:t xml:space="preserve"> o wysokim statusie społecznym najczęściej przeszkadzają w prowadzeniu lekcji. Ten wariant miał 32,17% wskazań. W co czwartym przypadku utrzymywano, że uczniom takim brak jest szacunku w stosunku do pedagogów (24,42%). W postawie niewielkiej część dzieci  (16,23%) dało się zauważyć kwestionowanie autorytetu nauczyciela. Jeszcze mniejszej grupie (11,15%) zdarzało się zignorować prośby czy polecenia nauczyciela, zaś sporadycznie wyśmiewać go (3,31%). Niewielki odsetek osób ankietowanych wskazał na „inne zachowania”, nie precyzując o jakie chodzi, pozostałym trudno to było stwierdzić w czym wyraża się niewłaściwy stosunek ucznia do nauczyciela (5,17%).</w:t>
      </w:r>
    </w:p>
    <w:p w:rsidR="00C7120B" w:rsidRDefault="00C7120B" w:rsidP="00C7120B">
      <w:pPr>
        <w:spacing w:line="360" w:lineRule="auto"/>
        <w:jc w:val="both"/>
      </w:pPr>
      <w:r>
        <w:t xml:space="preserve">          Zatem zgromadzony materiał dowiódł, ze część dzieci, że część dzieci z rodzin wysoko postawionych w hierarchii lokalnej społeczności ma nieodpowiedni stosunek do przełożonych w szkole, co przejawia się przede wszystkim w zakłócaniu porządku na zajęciach, a czasem w braku szacunku do nauczycieli czy kwestionowaniu ich autorytetu. Jak często zdarzają się takie sytuacje? Uzyskane dane w tej przedmiotowej kwestii ilustruje wykres 20.</w:t>
      </w:r>
    </w:p>
    <w:p w:rsidR="00CB1039" w:rsidRDefault="00CB1039" w:rsidP="00C7120B">
      <w:pPr>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CB1039">
        <w:t>Wykres 20.</w:t>
      </w:r>
    </w:p>
    <w:p w:rsidR="00CB1039" w:rsidRPr="00CB1039" w:rsidRDefault="00CB1039" w:rsidP="00CB1039">
      <w:r>
        <w:t xml:space="preserve">Temat: </w:t>
      </w:r>
      <w:r w:rsidRPr="00CB1039">
        <w:t>Częstotliwość występowania przypadków niewłaś</w:t>
      </w:r>
      <w:r>
        <w:t>ciwego stosunku do</w:t>
      </w:r>
      <w:r w:rsidRPr="00CB1039">
        <w:t xml:space="preserve">  nauczyciela</w:t>
      </w:r>
    </w:p>
    <w:p w:rsidR="00C7120B" w:rsidRDefault="00A11993" w:rsidP="00C7120B">
      <w:pPr>
        <w:rPr>
          <w:sz w:val="22"/>
          <w:szCs w:val="22"/>
        </w:rPr>
      </w:pPr>
      <w:r>
        <w:rPr>
          <w:noProof/>
        </w:rPr>
        <w:drawing>
          <wp:anchor distT="0" distB="0" distL="114300" distR="114300" simplePos="0" relativeHeight="251686912" behindDoc="0" locked="0" layoutInCell="1" allowOverlap="1" wp14:anchorId="573F60A5" wp14:editId="356B8DDB">
            <wp:simplePos x="0" y="0"/>
            <wp:positionH relativeFrom="column">
              <wp:posOffset>45775</wp:posOffset>
            </wp:positionH>
            <wp:positionV relativeFrom="paragraph">
              <wp:posOffset>149860</wp:posOffset>
            </wp:positionV>
            <wp:extent cx="5495925" cy="3728720"/>
            <wp:effectExtent l="0" t="0" r="9525" b="24130"/>
            <wp:wrapNone/>
            <wp:docPr id="10" name="Wykres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0"/>
          <w:szCs w:val="20"/>
        </w:rPr>
      </w:pPr>
      <w:r>
        <w:rPr>
          <w:sz w:val="20"/>
          <w:szCs w:val="20"/>
        </w:rPr>
        <w:t xml:space="preserve">  </w:t>
      </w:r>
    </w:p>
    <w:p w:rsidR="00C7120B" w:rsidRDefault="00C7120B" w:rsidP="00C7120B">
      <w:pPr>
        <w:tabs>
          <w:tab w:val="left" w:pos="2130"/>
        </w:tabs>
        <w:rPr>
          <w:sz w:val="20"/>
          <w:szCs w:val="20"/>
        </w:rPr>
      </w:pPr>
    </w:p>
    <w:p w:rsidR="00C7120B" w:rsidRDefault="00C7120B" w:rsidP="00C7120B">
      <w:pPr>
        <w:tabs>
          <w:tab w:val="left" w:pos="2130"/>
        </w:tabs>
        <w:rPr>
          <w:sz w:val="20"/>
          <w:szCs w:val="20"/>
        </w:rPr>
      </w:pPr>
      <w:r>
        <w:rPr>
          <w:sz w:val="20"/>
          <w:szCs w:val="20"/>
        </w:rPr>
        <w:t xml:space="preserve">          </w:t>
      </w:r>
    </w:p>
    <w:p w:rsidR="00C7120B" w:rsidRDefault="00C7120B" w:rsidP="00C7120B">
      <w:pPr>
        <w:tabs>
          <w:tab w:val="left" w:pos="2130"/>
        </w:tabs>
        <w:rPr>
          <w:sz w:val="20"/>
          <w:szCs w:val="20"/>
        </w:rPr>
      </w:pPr>
    </w:p>
    <w:p w:rsidR="00A11993" w:rsidRDefault="00C7120B" w:rsidP="00C7120B">
      <w:pPr>
        <w:rPr>
          <w:sz w:val="20"/>
          <w:szCs w:val="20"/>
        </w:rPr>
      </w:pPr>
      <w:r>
        <w:rPr>
          <w:sz w:val="20"/>
          <w:szCs w:val="20"/>
        </w:rPr>
        <w:t xml:space="preserve">  </w:t>
      </w:r>
    </w:p>
    <w:p w:rsidR="00A11993" w:rsidRDefault="00A11993" w:rsidP="00C7120B">
      <w:pPr>
        <w:rPr>
          <w:sz w:val="20"/>
          <w:szCs w:val="20"/>
        </w:rPr>
      </w:pPr>
    </w:p>
    <w:p w:rsidR="00C7120B" w:rsidRDefault="00C7120B" w:rsidP="00C7120B">
      <w:pPr>
        <w:tabs>
          <w:tab w:val="left" w:pos="2130"/>
        </w:tabs>
        <w:spacing w:line="360" w:lineRule="auto"/>
        <w:rPr>
          <w:sz w:val="22"/>
          <w:szCs w:val="22"/>
        </w:rPr>
      </w:pPr>
      <w:r>
        <w:rPr>
          <w:sz w:val="20"/>
          <w:szCs w:val="20"/>
        </w:rPr>
        <w:t xml:space="preserve">  Źródło: Opracowanie własne na podstawie danych z ankiety</w:t>
      </w:r>
    </w:p>
    <w:p w:rsidR="00C7120B" w:rsidRDefault="00C7120B" w:rsidP="00C7120B">
      <w:pPr>
        <w:rPr>
          <w:sz w:val="22"/>
          <w:szCs w:val="22"/>
        </w:rPr>
      </w:pPr>
    </w:p>
    <w:p w:rsidR="00C7120B" w:rsidRDefault="00C7120B" w:rsidP="00C7120B">
      <w:pPr>
        <w:spacing w:line="360" w:lineRule="auto"/>
        <w:jc w:val="both"/>
      </w:pPr>
      <w:r>
        <w:t xml:space="preserve">          2/3 ogółu całej badanej populacji (66,0%) stwierdziło, że tego rodzaju sytuacje mają miejsce rzadko. 14,0% uznało, ze takie zachowania u uczniów pojawiają się bardzo rzadko, zaś 12,0%, że często. Tylko 6,0% respondentów było zdania, ze zły stosunek do nauczyciela daje się bardzo często zauważyć w postawie i zachowaniach uczniów. Nieliczni respondenci nie zdeklarowali się w tej sprawie (2,0%).</w:t>
      </w:r>
    </w:p>
    <w:p w:rsidR="00C7120B" w:rsidRDefault="00C7120B" w:rsidP="00C7120B">
      <w:pPr>
        <w:spacing w:line="360" w:lineRule="auto"/>
        <w:jc w:val="both"/>
      </w:pPr>
      <w:r>
        <w:t xml:space="preserve">          </w:t>
      </w:r>
    </w:p>
    <w:p w:rsidR="00C7120B" w:rsidRDefault="00721FD1" w:rsidP="00C7120B">
      <w:pPr>
        <w:spacing w:line="360" w:lineRule="auto"/>
        <w:jc w:val="both"/>
      </w:pPr>
      <w:r>
        <w:rPr>
          <w:b/>
          <w:sz w:val="26"/>
          <w:szCs w:val="26"/>
        </w:rPr>
        <w:t xml:space="preserve"> 4</w:t>
      </w:r>
      <w:r w:rsidR="00C7120B">
        <w:rPr>
          <w:b/>
          <w:sz w:val="26"/>
          <w:szCs w:val="26"/>
        </w:rPr>
        <w:t>.3. Przejawy i przyczyny niepowodzeń szkolnych</w:t>
      </w:r>
      <w:r w:rsidR="00C7120B">
        <w:t xml:space="preserve">         </w:t>
      </w:r>
    </w:p>
    <w:p w:rsidR="00C7120B" w:rsidRDefault="00C7120B" w:rsidP="00C7120B">
      <w:pPr>
        <w:spacing w:line="360" w:lineRule="auto"/>
        <w:jc w:val="both"/>
      </w:pPr>
    </w:p>
    <w:p w:rsidR="00C7120B" w:rsidRDefault="00C7120B" w:rsidP="00C7120B">
      <w:pPr>
        <w:spacing w:line="360" w:lineRule="auto"/>
        <w:ind w:firstLine="708"/>
        <w:jc w:val="both"/>
      </w:pPr>
      <w:r>
        <w:t xml:space="preserve">Z kłopotami natury wychowawczej dość często idą w parze problemy edukacyjne, związane z wynikami uczenia się. W niniejszych badaniach założono także rozpoznanie kwestii czy uczniowie mający zamożnych i wpływowych rodziców, mają problemy w nauce. Tak postawione pytanie znalazło się w ankiecie skierowanej do nauczycieli. Strukturę procentową odpowiedzi ukazano na wykresie 21. </w:t>
      </w:r>
    </w:p>
    <w:p w:rsidR="00C7120B" w:rsidRDefault="00C7120B" w:rsidP="00C7120B">
      <w:pPr>
        <w:ind w:firstLine="708"/>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8B1945" w:rsidRDefault="008B1945" w:rsidP="00C7120B">
      <w:pPr>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Pr="008B1945">
        <w:t>Wykres 21.</w:t>
      </w:r>
    </w:p>
    <w:p w:rsidR="008B1945" w:rsidRDefault="008B1945" w:rsidP="00C7120B">
      <w:pPr>
        <w:rPr>
          <w:sz w:val="22"/>
          <w:szCs w:val="22"/>
        </w:rPr>
      </w:pPr>
      <w:r>
        <w:t xml:space="preserve">Temat: </w:t>
      </w:r>
      <w:r w:rsidRPr="008B1945">
        <w:t>Występowanie problemów ed</w:t>
      </w:r>
      <w:r>
        <w:t xml:space="preserve">ukacyjnych uczniów z zamożnych </w:t>
      </w:r>
      <w:r w:rsidRPr="008B1945">
        <w:t xml:space="preserve"> i ustosunkowanych </w:t>
      </w:r>
      <w:r>
        <w:t xml:space="preserve"> </w:t>
      </w:r>
      <w:r w:rsidRPr="008B1945">
        <w:t>rodzin</w:t>
      </w:r>
    </w:p>
    <w:p w:rsidR="008B1945" w:rsidRDefault="008B1945" w:rsidP="00C7120B">
      <w:pPr>
        <w:rPr>
          <w:sz w:val="22"/>
          <w:szCs w:val="22"/>
        </w:rPr>
      </w:pPr>
    </w:p>
    <w:p w:rsidR="008B1945" w:rsidRDefault="008B1945" w:rsidP="00C7120B">
      <w:pPr>
        <w:rPr>
          <w:sz w:val="22"/>
          <w:szCs w:val="22"/>
        </w:rPr>
      </w:pPr>
    </w:p>
    <w:p w:rsidR="00C7120B" w:rsidRDefault="008B1945" w:rsidP="00C7120B">
      <w:pPr>
        <w:rPr>
          <w:sz w:val="22"/>
          <w:szCs w:val="22"/>
        </w:rPr>
      </w:pPr>
      <w:r>
        <w:rPr>
          <w:noProof/>
        </w:rPr>
        <w:drawing>
          <wp:anchor distT="0" distB="0" distL="114300" distR="114300" simplePos="0" relativeHeight="251688960" behindDoc="0" locked="0" layoutInCell="1" allowOverlap="1" wp14:anchorId="25A082D7" wp14:editId="19C8364B">
            <wp:simplePos x="0" y="0"/>
            <wp:positionH relativeFrom="column">
              <wp:posOffset>79375</wp:posOffset>
            </wp:positionH>
            <wp:positionV relativeFrom="paragraph">
              <wp:posOffset>-306070</wp:posOffset>
            </wp:positionV>
            <wp:extent cx="5495925" cy="3571240"/>
            <wp:effectExtent l="0" t="0" r="9525" b="10160"/>
            <wp:wrapNone/>
            <wp:docPr id="9" name="Wykres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2"/>
          <w:szCs w:val="22"/>
        </w:rPr>
      </w:pPr>
      <w:r>
        <w:rPr>
          <w:sz w:val="22"/>
          <w:szCs w:val="22"/>
        </w:rPr>
        <w:t xml:space="preserve">         </w:t>
      </w:r>
    </w:p>
    <w:p w:rsidR="00C7120B" w:rsidRDefault="00C7120B" w:rsidP="00C7120B">
      <w:pPr>
        <w:tabs>
          <w:tab w:val="left" w:pos="2130"/>
        </w:tabs>
        <w:rPr>
          <w:sz w:val="22"/>
          <w:szCs w:val="22"/>
        </w:rPr>
      </w:pPr>
    </w:p>
    <w:p w:rsidR="00C7120B" w:rsidRDefault="00C7120B" w:rsidP="00C7120B">
      <w:pPr>
        <w:tabs>
          <w:tab w:val="left" w:pos="2130"/>
        </w:tabs>
        <w:rPr>
          <w:sz w:val="22"/>
          <w:szCs w:val="22"/>
        </w:rPr>
      </w:pPr>
      <w:r>
        <w:rPr>
          <w:sz w:val="22"/>
          <w:szCs w:val="22"/>
        </w:rPr>
        <w:t xml:space="preserve">         </w:t>
      </w:r>
    </w:p>
    <w:p w:rsidR="00C7120B" w:rsidRDefault="00C7120B" w:rsidP="00C7120B">
      <w:pPr>
        <w:tabs>
          <w:tab w:val="left" w:pos="2130"/>
        </w:tabs>
        <w:rPr>
          <w:sz w:val="22"/>
          <w:szCs w:val="22"/>
        </w:rPr>
      </w:pPr>
    </w:p>
    <w:p w:rsidR="00C7120B" w:rsidRDefault="00C7120B" w:rsidP="00C7120B">
      <w:pPr>
        <w:tabs>
          <w:tab w:val="left" w:pos="2130"/>
        </w:tabs>
        <w:rPr>
          <w:sz w:val="22"/>
          <w:szCs w:val="22"/>
        </w:rPr>
      </w:pPr>
      <w:r>
        <w:rPr>
          <w:sz w:val="22"/>
          <w:szCs w:val="22"/>
        </w:rPr>
        <w:t xml:space="preserve"> </w:t>
      </w:r>
    </w:p>
    <w:p w:rsidR="00C7120B" w:rsidRDefault="00C7120B" w:rsidP="00C7120B">
      <w:pPr>
        <w:tabs>
          <w:tab w:val="left" w:pos="2130"/>
        </w:tabs>
        <w:rPr>
          <w:sz w:val="22"/>
          <w:szCs w:val="22"/>
        </w:rPr>
      </w:pPr>
    </w:p>
    <w:p w:rsidR="00C7120B" w:rsidRDefault="00C7120B" w:rsidP="00C7120B">
      <w:pPr>
        <w:tabs>
          <w:tab w:val="left" w:pos="2130"/>
        </w:tabs>
        <w:rPr>
          <w:sz w:val="22"/>
          <w:szCs w:val="22"/>
        </w:rPr>
      </w:pPr>
    </w:p>
    <w:p w:rsidR="008B1945" w:rsidRDefault="008B1945" w:rsidP="00C7120B">
      <w:pPr>
        <w:rPr>
          <w:sz w:val="22"/>
          <w:szCs w:val="22"/>
        </w:rPr>
      </w:pPr>
    </w:p>
    <w:p w:rsidR="008B1945" w:rsidRDefault="008B1945" w:rsidP="00C7120B">
      <w:pPr>
        <w:rPr>
          <w:sz w:val="22"/>
          <w:szCs w:val="22"/>
        </w:rPr>
      </w:pPr>
    </w:p>
    <w:p w:rsidR="008B1945" w:rsidRDefault="008B1945" w:rsidP="00C7120B">
      <w:pPr>
        <w:rPr>
          <w:sz w:val="22"/>
          <w:szCs w:val="22"/>
        </w:rPr>
      </w:pPr>
    </w:p>
    <w:p w:rsidR="008B1945" w:rsidRDefault="008B1945" w:rsidP="00C7120B">
      <w:pPr>
        <w:rPr>
          <w:sz w:val="22"/>
          <w:szCs w:val="22"/>
        </w:rPr>
      </w:pPr>
    </w:p>
    <w:p w:rsidR="00C7120B" w:rsidRPr="008B1945" w:rsidRDefault="00C7120B" w:rsidP="00C7120B">
      <w:r>
        <w:rPr>
          <w:sz w:val="22"/>
          <w:szCs w:val="22"/>
        </w:rPr>
        <w:t xml:space="preserve">  </w:t>
      </w:r>
    </w:p>
    <w:p w:rsidR="00C7120B" w:rsidRDefault="00C7120B" w:rsidP="00C7120B">
      <w:pPr>
        <w:tabs>
          <w:tab w:val="left" w:pos="2130"/>
        </w:tabs>
        <w:spacing w:line="360" w:lineRule="auto"/>
        <w:rPr>
          <w:sz w:val="22"/>
          <w:szCs w:val="22"/>
        </w:rPr>
      </w:pPr>
      <w:r>
        <w:rPr>
          <w:sz w:val="20"/>
          <w:szCs w:val="20"/>
        </w:rPr>
        <w:t xml:space="preserve">   Źródło: Opracowanie własne na podstawie danych z ankiety</w:t>
      </w:r>
    </w:p>
    <w:p w:rsidR="00C7120B" w:rsidRDefault="00C7120B" w:rsidP="00C7120B">
      <w:pPr>
        <w:rPr>
          <w:sz w:val="22"/>
          <w:szCs w:val="22"/>
        </w:rPr>
      </w:pPr>
    </w:p>
    <w:p w:rsidR="00C7120B" w:rsidRDefault="00C7120B" w:rsidP="00C7120B">
      <w:pPr>
        <w:spacing w:line="360" w:lineRule="auto"/>
        <w:jc w:val="both"/>
      </w:pPr>
      <w:r>
        <w:t xml:space="preserve">          Z deklaracji badanych wynika, ze dzieci z rodzin o wysokim statusie społecznym i finansowym mogą doświadczać niepowodzeń szkolnych. Takie zdanie wyraziło ponad 2/3 badanych (68,0%). Do tej grupy zaliczono osoby, które wskazały na wariant „tak” (26,0%) i „raczej tak” (42,0%) Przeciwną opinię sformułował co czwarty respondent („raczej nie” – 16,0%, „nie” – 10,0%). Kilka osób nie ustosunkowało się do tego zagadnienie (6%).</w:t>
      </w:r>
    </w:p>
    <w:p w:rsidR="00C7120B" w:rsidRDefault="00C7120B" w:rsidP="00C7120B">
      <w:pPr>
        <w:spacing w:line="360" w:lineRule="auto"/>
        <w:jc w:val="both"/>
      </w:pPr>
      <w:r>
        <w:t xml:space="preserve">          W kontekście sprawy powyżej podjętej, starano się określić jakiego odsetka uczniów ten problem dotyczy. Uzyskany materiał empiryczny obrazuje wykres 22.</w:t>
      </w:r>
    </w:p>
    <w:p w:rsidR="00C7120B" w:rsidRDefault="00C7120B" w:rsidP="00C7120B">
      <w:pPr>
        <w:spacing w:line="360" w:lineRule="auto"/>
        <w:jc w:val="both"/>
      </w:pPr>
    </w:p>
    <w:p w:rsidR="00C7120B" w:rsidRDefault="00C7120B" w:rsidP="00C7120B">
      <w:pPr>
        <w:spacing w:line="360" w:lineRule="auto"/>
        <w:jc w:val="both"/>
      </w:pPr>
    </w:p>
    <w:p w:rsidR="00C7120B" w:rsidRDefault="00C7120B" w:rsidP="00C7120B">
      <w:pPr>
        <w:spacing w:line="360" w:lineRule="auto"/>
        <w:jc w:val="both"/>
      </w:pPr>
    </w:p>
    <w:p w:rsidR="00C7120B" w:rsidRDefault="00C7120B" w:rsidP="00C7120B">
      <w:pPr>
        <w:spacing w:line="360" w:lineRule="auto"/>
        <w:jc w:val="both"/>
      </w:pPr>
    </w:p>
    <w:p w:rsidR="00C7120B" w:rsidRDefault="00C7120B" w:rsidP="00C7120B">
      <w:pPr>
        <w:spacing w:line="360" w:lineRule="auto"/>
        <w:jc w:val="both"/>
      </w:pPr>
    </w:p>
    <w:p w:rsidR="00C7120B" w:rsidRDefault="00C7120B" w:rsidP="00C7120B">
      <w:pPr>
        <w:spacing w:line="360" w:lineRule="auto"/>
        <w:jc w:val="both"/>
      </w:pPr>
    </w:p>
    <w:p w:rsidR="00C7120B" w:rsidRDefault="00C7120B" w:rsidP="00C7120B">
      <w:pPr>
        <w:spacing w:line="360" w:lineRule="auto"/>
        <w:jc w:val="both"/>
      </w:pPr>
    </w:p>
    <w:p w:rsidR="00C7120B" w:rsidRDefault="00C7120B" w:rsidP="00C7120B">
      <w:pPr>
        <w:tabs>
          <w:tab w:val="left" w:pos="1350"/>
        </w:tabs>
        <w:jc w:val="center"/>
        <w:rPr>
          <w:b/>
          <w:sz w:val="22"/>
          <w:szCs w:val="22"/>
        </w:rPr>
      </w:pPr>
    </w:p>
    <w:p w:rsidR="00C7120B" w:rsidRDefault="00C7120B" w:rsidP="00C7120B">
      <w:pPr>
        <w:tabs>
          <w:tab w:val="left" w:pos="1350"/>
        </w:tabs>
        <w:jc w:val="center"/>
        <w:rPr>
          <w:b/>
          <w:sz w:val="22"/>
          <w:szCs w:val="22"/>
        </w:rPr>
      </w:pPr>
    </w:p>
    <w:p w:rsidR="00C7120B" w:rsidRDefault="00C7120B" w:rsidP="00C7120B">
      <w:pPr>
        <w:tabs>
          <w:tab w:val="left" w:pos="1350"/>
        </w:tabs>
        <w:rPr>
          <w:b/>
          <w:sz w:val="22"/>
          <w:szCs w:val="22"/>
        </w:rPr>
      </w:pPr>
    </w:p>
    <w:p w:rsidR="00C7120B" w:rsidRDefault="00C7120B" w:rsidP="00C7120B">
      <w:pPr>
        <w:tabs>
          <w:tab w:val="left" w:pos="1350"/>
        </w:tabs>
        <w:jc w:val="center"/>
        <w:rPr>
          <w:b/>
          <w:sz w:val="22"/>
          <w:szCs w:val="22"/>
        </w:rPr>
      </w:pPr>
    </w:p>
    <w:p w:rsidR="00C7120B" w:rsidRDefault="00C7120B" w:rsidP="00C7120B">
      <w:pPr>
        <w:rPr>
          <w:sz w:val="22"/>
          <w:szCs w:val="22"/>
        </w:rPr>
      </w:pPr>
    </w:p>
    <w:p w:rsidR="00E263BB" w:rsidRDefault="00E263BB" w:rsidP="00C7120B">
      <w:pPr>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E263BB">
        <w:t>Wykres 22.</w:t>
      </w:r>
    </w:p>
    <w:p w:rsidR="00E263BB" w:rsidRDefault="00E263BB" w:rsidP="00C7120B">
      <w:pPr>
        <w:rPr>
          <w:sz w:val="22"/>
          <w:szCs w:val="22"/>
        </w:rPr>
      </w:pPr>
      <w:r>
        <w:t xml:space="preserve">Temat: </w:t>
      </w:r>
      <w:r w:rsidRPr="00E263BB">
        <w:t xml:space="preserve">Skala występowania problemów edukacyjnych  dzieci z rodzin o wysokim </w:t>
      </w:r>
      <w:r w:rsidRPr="00E263BB">
        <w:br/>
      </w:r>
      <w:r>
        <w:t xml:space="preserve">  </w:t>
      </w:r>
      <w:r w:rsidRPr="00E263BB">
        <w:t xml:space="preserve">           statusie materialnym i społecznym</w:t>
      </w:r>
    </w:p>
    <w:p w:rsidR="00E263BB" w:rsidRDefault="00E263BB" w:rsidP="00C7120B">
      <w:pPr>
        <w:rPr>
          <w:sz w:val="22"/>
          <w:szCs w:val="22"/>
        </w:rPr>
      </w:pPr>
    </w:p>
    <w:p w:rsidR="00E263BB" w:rsidRDefault="00E263BB" w:rsidP="00C7120B">
      <w:pPr>
        <w:rPr>
          <w:sz w:val="22"/>
          <w:szCs w:val="22"/>
        </w:rPr>
      </w:pPr>
    </w:p>
    <w:p w:rsidR="00E263BB" w:rsidRDefault="00E263BB" w:rsidP="00C7120B">
      <w:pPr>
        <w:rPr>
          <w:sz w:val="22"/>
          <w:szCs w:val="22"/>
        </w:rPr>
      </w:pPr>
    </w:p>
    <w:p w:rsidR="00C7120B" w:rsidRDefault="00E263BB" w:rsidP="00C7120B">
      <w:pPr>
        <w:rPr>
          <w:sz w:val="22"/>
          <w:szCs w:val="22"/>
        </w:rPr>
      </w:pPr>
      <w:r>
        <w:rPr>
          <w:noProof/>
        </w:rPr>
        <w:drawing>
          <wp:anchor distT="0" distB="0" distL="114300" distR="114300" simplePos="0" relativeHeight="251669504" behindDoc="0" locked="0" layoutInCell="1" allowOverlap="1" wp14:anchorId="7D4F6F3B" wp14:editId="6B6B19A0">
            <wp:simplePos x="0" y="0"/>
            <wp:positionH relativeFrom="column">
              <wp:posOffset>-53597</wp:posOffset>
            </wp:positionH>
            <wp:positionV relativeFrom="paragraph">
              <wp:posOffset>-462280</wp:posOffset>
            </wp:positionV>
            <wp:extent cx="5427299" cy="3685649"/>
            <wp:effectExtent l="0" t="0" r="21590" b="10160"/>
            <wp:wrapNone/>
            <wp:docPr id="8" name="Wykres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C7120B" w:rsidRDefault="00C7120B" w:rsidP="00C7120B">
      <w:pPr>
        <w:jc w:val="cente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2"/>
          <w:szCs w:val="22"/>
        </w:rPr>
      </w:pPr>
    </w:p>
    <w:p w:rsidR="00C7120B" w:rsidRDefault="00C7120B" w:rsidP="00C7120B">
      <w:pPr>
        <w:tabs>
          <w:tab w:val="left" w:pos="2130"/>
        </w:tabs>
        <w:rPr>
          <w:sz w:val="22"/>
          <w:szCs w:val="22"/>
        </w:rPr>
      </w:pPr>
    </w:p>
    <w:p w:rsidR="00C7120B" w:rsidRDefault="00C7120B" w:rsidP="00C7120B">
      <w:pPr>
        <w:tabs>
          <w:tab w:val="left" w:pos="2130"/>
        </w:tabs>
        <w:rPr>
          <w:sz w:val="22"/>
          <w:szCs w:val="22"/>
        </w:rPr>
      </w:pPr>
    </w:p>
    <w:p w:rsidR="00C7120B" w:rsidRDefault="00C7120B" w:rsidP="00C7120B">
      <w:pPr>
        <w:tabs>
          <w:tab w:val="left" w:pos="2130"/>
        </w:tabs>
        <w:rPr>
          <w:sz w:val="22"/>
          <w:szCs w:val="22"/>
        </w:rPr>
      </w:pPr>
    </w:p>
    <w:p w:rsidR="00C7120B" w:rsidRPr="00E263BB" w:rsidRDefault="00C7120B" w:rsidP="00E263BB">
      <w:pPr>
        <w:tabs>
          <w:tab w:val="left" w:pos="2130"/>
        </w:tabs>
        <w:rPr>
          <w:sz w:val="22"/>
          <w:szCs w:val="22"/>
        </w:rPr>
      </w:pPr>
      <w:r>
        <w:rPr>
          <w:sz w:val="22"/>
          <w:szCs w:val="22"/>
        </w:rPr>
        <w:t xml:space="preserve">         </w:t>
      </w:r>
      <w:r w:rsidR="00E263BB">
        <w:rPr>
          <w:sz w:val="20"/>
          <w:szCs w:val="20"/>
        </w:rPr>
        <w:t xml:space="preserve"> </w:t>
      </w:r>
    </w:p>
    <w:p w:rsidR="00C7120B" w:rsidRDefault="00C7120B" w:rsidP="00C7120B">
      <w:pPr>
        <w:tabs>
          <w:tab w:val="left" w:pos="2130"/>
        </w:tabs>
        <w:rPr>
          <w:sz w:val="20"/>
          <w:szCs w:val="20"/>
        </w:rPr>
      </w:pPr>
      <w:r>
        <w:rPr>
          <w:sz w:val="20"/>
          <w:szCs w:val="20"/>
        </w:rPr>
        <w:t xml:space="preserve">   Źródło: Opracowanie własne na podstawie danych z ankiety</w:t>
      </w:r>
    </w:p>
    <w:p w:rsidR="00C7120B" w:rsidRDefault="00C7120B" w:rsidP="00C7120B">
      <w:pPr>
        <w:spacing w:line="360" w:lineRule="auto"/>
        <w:jc w:val="both"/>
      </w:pPr>
    </w:p>
    <w:p w:rsidR="00C7120B" w:rsidRDefault="00C7120B" w:rsidP="00C7120B">
      <w:pPr>
        <w:spacing w:line="360" w:lineRule="auto"/>
        <w:jc w:val="both"/>
      </w:pPr>
      <w:r>
        <w:t xml:space="preserve">          Relacje respondentów skoncentrowały się na dwóch odpowiedziach: „do 20%” oraz „20-30%. Na pierwszy wariant wskazało 44,0% nauczycieli, drugi natomiast wybrała 1/3 osób z tej populacji. Co dziesiąty badany stwierdził, że problemy w nauce mogą występować nawet w przypadku 40-50% uczniów z rodzin stojących wysoko </w:t>
      </w:r>
      <w:r>
        <w:br/>
        <w:t>w hierarchii społecznej. Jednak była to opinia marginalna, podobnie jak twierdzenie, że kłopoty w przyswajaniu wiedzy i umiejętności ma mniej niż 10% dzieci. Uśredniając uzyskane wyniki, można przyjąć, że problemy natury edukacyjnej może mieć około 20% takich uczniów.</w:t>
      </w:r>
    </w:p>
    <w:p w:rsidR="00C7120B" w:rsidRDefault="00C7120B" w:rsidP="00C7120B">
      <w:pPr>
        <w:spacing w:line="360" w:lineRule="auto"/>
        <w:jc w:val="both"/>
      </w:pPr>
      <w:r>
        <w:t xml:space="preserve">          Niepowodzenia szkolne są poważnym problemem edukacyjnym. Powody takie stanu rzeczy mogą być bardzo różnorodne. Najczęściej wynikają z niewłaściwego stosunku dzieci do obowiązków szkolnych. Trudno jednak w tym przypadku winić same dzieci. Wina może tkwić także w rodzicach. Problemy edukacyjne mogą przejawiać się przede wszystkim w niskich wynikach uczenia się lub/i drugoroczności. Badana grupa nauczycieli wypowiedziała się również w tej kwestii. Zgromadzony materiał z odpowiedzi zilustrowano na wykresie 23.</w:t>
      </w:r>
    </w:p>
    <w:p w:rsidR="00C7120B" w:rsidRDefault="00C7120B" w:rsidP="00C7120B">
      <w:pPr>
        <w:spacing w:line="360" w:lineRule="auto"/>
        <w:jc w:val="both"/>
      </w:pPr>
    </w:p>
    <w:p w:rsidR="00C7120B" w:rsidRDefault="00C7120B" w:rsidP="00C7120B">
      <w:pPr>
        <w:tabs>
          <w:tab w:val="left" w:pos="2130"/>
        </w:tabs>
        <w:jc w:val="center"/>
        <w:rPr>
          <w:b/>
          <w:sz w:val="22"/>
          <w:szCs w:val="22"/>
        </w:rPr>
      </w:pPr>
    </w:p>
    <w:p w:rsidR="00C7120B" w:rsidRDefault="00C7120B" w:rsidP="00C7120B">
      <w:pPr>
        <w:tabs>
          <w:tab w:val="left" w:pos="1020"/>
        </w:tabs>
        <w:jc w:val="center"/>
        <w:rPr>
          <w:b/>
          <w:sz w:val="22"/>
          <w:szCs w:val="22"/>
        </w:rPr>
      </w:pPr>
    </w:p>
    <w:p w:rsidR="00C30EDE" w:rsidRDefault="00C30EDE" w:rsidP="00C7120B">
      <w:pPr>
        <w:tabs>
          <w:tab w:val="left" w:pos="1020"/>
        </w:tabs>
        <w:jc w:val="center"/>
        <w:rPr>
          <w:b/>
          <w:sz w:val="22"/>
          <w:szCs w:val="22"/>
        </w:rPr>
      </w:pPr>
    </w:p>
    <w:p w:rsidR="00C7120B" w:rsidRDefault="00C7120B" w:rsidP="00C7120B">
      <w:pPr>
        <w:rPr>
          <w:sz w:val="22"/>
          <w:szCs w:val="22"/>
        </w:rPr>
      </w:pPr>
    </w:p>
    <w:p w:rsidR="002470D2" w:rsidRDefault="002470D2" w:rsidP="00C7120B">
      <w:pPr>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C30EDE">
        <w:t>Wykres 23.</w:t>
      </w:r>
    </w:p>
    <w:p w:rsidR="00C30EDE" w:rsidRDefault="002470D2" w:rsidP="00C7120B">
      <w:pPr>
        <w:rPr>
          <w:sz w:val="22"/>
          <w:szCs w:val="22"/>
        </w:rPr>
      </w:pPr>
      <w:r>
        <w:t xml:space="preserve">Temat: </w:t>
      </w:r>
      <w:r w:rsidRPr="00C30EDE">
        <w:t xml:space="preserve">Przejawy niepowodzeń edukacyjnych dzieci z rodzin o wysokim statusie </w:t>
      </w:r>
      <w:r w:rsidRPr="00C30EDE">
        <w:br/>
        <w:t xml:space="preserve">                     materialnym i społecznym</w:t>
      </w:r>
    </w:p>
    <w:p w:rsidR="00C30EDE" w:rsidRDefault="00C30EDE" w:rsidP="00C7120B">
      <w:pPr>
        <w:rPr>
          <w:sz w:val="22"/>
          <w:szCs w:val="22"/>
        </w:rPr>
      </w:pPr>
    </w:p>
    <w:p w:rsidR="00C7120B" w:rsidRDefault="00C7120B" w:rsidP="00C7120B">
      <w:pPr>
        <w:rPr>
          <w:sz w:val="22"/>
          <w:szCs w:val="22"/>
        </w:rPr>
      </w:pPr>
    </w:p>
    <w:p w:rsidR="00C7120B" w:rsidRDefault="00C30EDE" w:rsidP="00C7120B">
      <w:pPr>
        <w:rPr>
          <w:sz w:val="22"/>
          <w:szCs w:val="22"/>
        </w:rPr>
      </w:pPr>
      <w:r>
        <w:rPr>
          <w:noProof/>
        </w:rPr>
        <w:drawing>
          <wp:anchor distT="0" distB="0" distL="114300" distR="114300" simplePos="0" relativeHeight="251682816" behindDoc="0" locked="0" layoutInCell="1" allowOverlap="1" wp14:anchorId="341A6E2F" wp14:editId="7501C927">
            <wp:simplePos x="0" y="0"/>
            <wp:positionH relativeFrom="column">
              <wp:posOffset>-185533</wp:posOffset>
            </wp:positionH>
            <wp:positionV relativeFrom="paragraph">
              <wp:posOffset>-248877</wp:posOffset>
            </wp:positionV>
            <wp:extent cx="5495925" cy="3743325"/>
            <wp:effectExtent l="0" t="0" r="952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Rot="1"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95925" cy="3743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2"/>
          <w:szCs w:val="22"/>
        </w:rPr>
      </w:pPr>
    </w:p>
    <w:p w:rsidR="00C7120B" w:rsidRDefault="00C7120B" w:rsidP="00C7120B">
      <w:pPr>
        <w:tabs>
          <w:tab w:val="left" w:pos="2130"/>
        </w:tabs>
        <w:rPr>
          <w:sz w:val="22"/>
          <w:szCs w:val="22"/>
        </w:rPr>
      </w:pPr>
    </w:p>
    <w:p w:rsidR="00C7120B" w:rsidRDefault="00C7120B" w:rsidP="00C7120B">
      <w:pPr>
        <w:tabs>
          <w:tab w:val="left" w:pos="2130"/>
        </w:tabs>
        <w:rPr>
          <w:sz w:val="22"/>
          <w:szCs w:val="22"/>
        </w:rPr>
      </w:pPr>
    </w:p>
    <w:p w:rsidR="00C7120B" w:rsidRDefault="00C7120B" w:rsidP="00C7120B">
      <w:pPr>
        <w:tabs>
          <w:tab w:val="left" w:pos="2130"/>
        </w:tabs>
        <w:rPr>
          <w:sz w:val="22"/>
          <w:szCs w:val="22"/>
        </w:rPr>
      </w:pPr>
    </w:p>
    <w:p w:rsidR="00C7120B" w:rsidRDefault="00C7120B" w:rsidP="00C7120B">
      <w:pPr>
        <w:tabs>
          <w:tab w:val="left" w:pos="2130"/>
        </w:tabs>
        <w:rPr>
          <w:sz w:val="20"/>
          <w:szCs w:val="20"/>
        </w:rPr>
      </w:pPr>
      <w:r>
        <w:rPr>
          <w:sz w:val="20"/>
          <w:szCs w:val="20"/>
        </w:rPr>
        <w:t xml:space="preserve">  </w:t>
      </w:r>
    </w:p>
    <w:p w:rsidR="00C7120B" w:rsidRPr="00C30EDE" w:rsidRDefault="00C7120B" w:rsidP="00C7120B">
      <w:pPr>
        <w:tabs>
          <w:tab w:val="left" w:pos="2130"/>
        </w:tabs>
      </w:pPr>
      <w:r>
        <w:rPr>
          <w:sz w:val="22"/>
          <w:szCs w:val="22"/>
        </w:rPr>
        <w:t xml:space="preserve"> </w:t>
      </w:r>
    </w:p>
    <w:p w:rsidR="00C7120B" w:rsidRDefault="00C7120B" w:rsidP="00C7120B">
      <w:pPr>
        <w:tabs>
          <w:tab w:val="left" w:pos="2130"/>
        </w:tabs>
        <w:spacing w:line="360" w:lineRule="auto"/>
        <w:rPr>
          <w:sz w:val="20"/>
          <w:szCs w:val="20"/>
        </w:rPr>
      </w:pPr>
      <w:r>
        <w:rPr>
          <w:sz w:val="20"/>
          <w:szCs w:val="20"/>
        </w:rPr>
        <w:t xml:space="preserve"> Źródło: Opracowanie własne na podstawie danych z ankiety</w:t>
      </w:r>
    </w:p>
    <w:p w:rsidR="00C7120B" w:rsidRDefault="00C7120B" w:rsidP="00C7120B">
      <w:pPr>
        <w:spacing w:line="360" w:lineRule="auto"/>
        <w:jc w:val="both"/>
      </w:pPr>
    </w:p>
    <w:p w:rsidR="00C7120B" w:rsidRDefault="00C7120B" w:rsidP="00C7120B">
      <w:pPr>
        <w:spacing w:line="360" w:lineRule="auto"/>
        <w:jc w:val="both"/>
      </w:pPr>
      <w:r>
        <w:t xml:space="preserve">         Jak wynika z analizy uzyskanego materiału, 70,0% osób ankietowanych wyraziło zdanie, że podstawowym objawem niepowodzeń szkolnych są słabe efekty uczenia się. dla 8,0% niskie wyniki w nauce idą w parze z repetycją klasy (drugorocznością). Warto dodać, że niemal co piąty badany wskazał na „inne niepowodzenia”, nie wyjaśniając</w:t>
      </w:r>
      <w:r>
        <w:br/>
        <w:t>o jakie może chodzić. Nieliczne osoby nie miały zdania w tej sprawie („trudno powiedzieć” – 4,0%).</w:t>
      </w:r>
    </w:p>
    <w:p w:rsidR="00C7120B" w:rsidRDefault="00C7120B" w:rsidP="00C7120B">
      <w:pPr>
        <w:spacing w:line="360" w:lineRule="auto"/>
        <w:jc w:val="both"/>
      </w:pPr>
      <w:r>
        <w:t xml:space="preserve">          Wobec stwierdzonych problemów edukacyjnych dzieci z zamożnych rodzin, ustaleniu odsetka uczniów mających tego typu kłopoty oraz ich przejawów, starano się określić przyczyny tego zjawiska. Założono, że mogą one wynikać z zaległości </w:t>
      </w:r>
      <w:r>
        <w:br/>
        <w:t xml:space="preserve">z wcześniejszych lat edukacji, lekceważącego stosunku do obowiązków szkolnych, braku większego zainteresowania nauką, (braku motywacji do niej), braku koncentracji na zajęciach czy też nieistniejącej  kontroli lub zaniedbań ze strony rodziców. Takie też możliwości wyboru były zamieszczone w kafeterii odpowiedzi do pytania </w:t>
      </w:r>
      <w:r>
        <w:br/>
        <w:t>o odpowiednio sformułowanej treści. Było to pytanie półotwarte. Poza sugerowanymi wariantami odpowiedzi, respondenci mogli też podać własną odpowiedź nie mieszczącą się  w zamieszczonych propozycjach. Strukturę procentową uzyskanych odpowiedzi ukazano na wykresie 24.</w:t>
      </w:r>
    </w:p>
    <w:p w:rsidR="00287F5C" w:rsidRDefault="00287F5C" w:rsidP="00C7120B">
      <w:pPr>
        <w:spacing w:line="360" w:lineRule="auto"/>
        <w:jc w:val="both"/>
      </w:pPr>
    </w:p>
    <w:p w:rsidR="00287F5C" w:rsidRDefault="00287F5C" w:rsidP="00C7120B">
      <w:pPr>
        <w:spacing w:line="360" w:lineRule="auto"/>
        <w:jc w:val="both"/>
      </w:pPr>
      <w:r>
        <w:tab/>
      </w:r>
      <w:r>
        <w:tab/>
      </w:r>
      <w:r>
        <w:tab/>
      </w:r>
      <w:r>
        <w:tab/>
      </w:r>
      <w:r>
        <w:tab/>
      </w:r>
      <w:r>
        <w:tab/>
      </w:r>
      <w:r>
        <w:tab/>
      </w:r>
      <w:r>
        <w:tab/>
      </w:r>
      <w:r>
        <w:tab/>
      </w:r>
      <w:r>
        <w:tab/>
      </w:r>
      <w:r>
        <w:tab/>
      </w:r>
      <w:r>
        <w:rPr>
          <w:sz w:val="22"/>
          <w:szCs w:val="22"/>
        </w:rPr>
        <w:t>Wykres 24.</w:t>
      </w:r>
    </w:p>
    <w:p w:rsidR="00C7120B" w:rsidRDefault="00287F5C" w:rsidP="00C7120B">
      <w:pPr>
        <w:spacing w:line="360" w:lineRule="auto"/>
        <w:jc w:val="both"/>
      </w:pPr>
      <w:r>
        <w:rPr>
          <w:sz w:val="22"/>
          <w:szCs w:val="22"/>
        </w:rPr>
        <w:t xml:space="preserve">Temat: </w:t>
      </w:r>
      <w:r>
        <w:rPr>
          <w:sz w:val="22"/>
          <w:szCs w:val="22"/>
        </w:rPr>
        <w:t>Przyczyny problemów uczniów w szkole</w:t>
      </w:r>
      <w:r>
        <w:rPr>
          <w:rStyle w:val="Odwoanieprzypisudolnego"/>
        </w:rPr>
        <w:footnoteReference w:id="2"/>
      </w:r>
      <w:r w:rsidR="00C7120B">
        <w:rPr>
          <w:noProof/>
        </w:rPr>
        <w:drawing>
          <wp:anchor distT="0" distB="0" distL="114300" distR="114300" simplePos="0" relativeHeight="251681792" behindDoc="0" locked="0" layoutInCell="1" allowOverlap="1">
            <wp:simplePos x="0" y="0"/>
            <wp:positionH relativeFrom="column">
              <wp:posOffset>0</wp:posOffset>
            </wp:positionH>
            <wp:positionV relativeFrom="paragraph">
              <wp:posOffset>160020</wp:posOffset>
            </wp:positionV>
            <wp:extent cx="5478145" cy="3886200"/>
            <wp:effectExtent l="3175" t="0" r="0" b="4445"/>
            <wp:wrapNone/>
            <wp:docPr id="6" name="Wykres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r w:rsidR="00C7120B">
        <w:t xml:space="preserve">     </w:t>
      </w:r>
    </w:p>
    <w:p w:rsidR="00287F5C" w:rsidRDefault="00287F5C" w:rsidP="00C7120B">
      <w:pPr>
        <w:spacing w:line="360" w:lineRule="auto"/>
        <w:jc w:val="both"/>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0"/>
          <w:szCs w:val="20"/>
        </w:rPr>
      </w:pPr>
      <w:r>
        <w:rPr>
          <w:sz w:val="22"/>
          <w:szCs w:val="22"/>
        </w:rPr>
        <w:tab/>
      </w:r>
      <w:r>
        <w:rPr>
          <w:sz w:val="20"/>
          <w:szCs w:val="20"/>
        </w:rPr>
        <w:t xml:space="preserve">  </w:t>
      </w: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610F0D" w:rsidRDefault="00610F0D" w:rsidP="00610F0D">
      <w:pPr>
        <w:tabs>
          <w:tab w:val="left" w:pos="2130"/>
        </w:tabs>
        <w:rPr>
          <w:sz w:val="20"/>
          <w:szCs w:val="20"/>
        </w:rPr>
      </w:pPr>
    </w:p>
    <w:p w:rsidR="00C7120B" w:rsidRDefault="00C7120B" w:rsidP="00610F0D">
      <w:pPr>
        <w:tabs>
          <w:tab w:val="left" w:pos="2130"/>
        </w:tabs>
        <w:rPr>
          <w:sz w:val="20"/>
          <w:szCs w:val="20"/>
        </w:rPr>
      </w:pPr>
      <w:r>
        <w:rPr>
          <w:sz w:val="20"/>
          <w:szCs w:val="20"/>
        </w:rPr>
        <w:t xml:space="preserve">  Źródło: Opracowanie własne na podstawie danych z ankiety</w:t>
      </w:r>
    </w:p>
    <w:p w:rsidR="00C7120B" w:rsidRDefault="00C7120B" w:rsidP="00C7120B">
      <w:pPr>
        <w:spacing w:line="360" w:lineRule="auto"/>
        <w:jc w:val="both"/>
      </w:pPr>
    </w:p>
    <w:p w:rsidR="00C7120B" w:rsidRDefault="00C7120B" w:rsidP="00C7120B">
      <w:pPr>
        <w:spacing w:line="360" w:lineRule="auto"/>
        <w:jc w:val="both"/>
      </w:pPr>
      <w:r>
        <w:t xml:space="preserve">          Jak ustalono w toku analizy materiału empirycznego, badani wskazywali na różne przyczyny problemów w nauce uczniów, pochodzących z rodzin o dużym prestiżu społecznym. Dominantą w wyborach okazał się wariant: „brak kontroli e strony rodziców” (29%), a następnie „zaniedbania ze strony rodziców”, który miał 24% wskazań. Kolejnym, nieco mniej istotnym powodem, był brak większego zainteresowania nauką ze strony tych dzieci (19%wskazań). Dalsze miejsce w tej hierarchii zajęły takie przyczyny, jak: brak koncentracji na zajęciach (11% wskazań) czy też zaległości z wcześniejszych lat edukacji (7%). 5% ankietowanych wskazało na „inne przyczyny”, jednak nie uzasadniano w czym się one przejawiają. Nieliczni badani (3%) nie udzielili konkretnej odpowiedzi („trudno powiedzieć”).</w:t>
      </w:r>
    </w:p>
    <w:p w:rsidR="00C7120B" w:rsidRDefault="00C7120B" w:rsidP="00C7120B">
      <w:pPr>
        <w:spacing w:line="360" w:lineRule="auto"/>
        <w:jc w:val="both"/>
      </w:pPr>
      <w:r>
        <w:t xml:space="preserve">          Z tak ukształtowanej relacji odpowiedzi można wnosić, ze odpowiedzialni za zaistniałą sytuację (tzn. doświadczenie niepowodzeń szkolnych przez dzieci </w:t>
      </w:r>
      <w:r>
        <w:br/>
        <w:t xml:space="preserve">z zamożnych rodzin) są przede wszystkim rodzice. To zaniedbania z ich strony czy brak kontroli swoich dzieci powodują, że mają one kłopoty w nauce. Oczywiście winne są też same dzieci, z </w:t>
      </w:r>
      <w:r>
        <w:lastRenderedPageBreak/>
        <w:t>uwagi na to, że nie interesują się nauką, nie uważają i nie są skoncentrowani na zajęciach czy też mają zaległości edukacyjne z wcześniejszych lat.</w:t>
      </w:r>
    </w:p>
    <w:p w:rsidR="00C7120B" w:rsidRDefault="00C7120B" w:rsidP="00C7120B">
      <w:pPr>
        <w:spacing w:line="360" w:lineRule="auto"/>
        <w:jc w:val="both"/>
      </w:pPr>
      <w:r>
        <w:t xml:space="preserve">          W badaniach ustalono również czy problemy edukacyjne dzieci z rodzin dobrze sytuowanych w stosunku do ogółu uczniów są większe, mniejsze czy też nie ma większej różnicy tymi kategoriami uczniów. Z tak sformułowanym pytaniem zwrócono się w ankiecie do nauczycieli. Zgromadzone dane w tej materii przedstawiono na wykresie 25. </w:t>
      </w:r>
    </w:p>
    <w:p w:rsidR="00C5733A" w:rsidRDefault="00C5733A" w:rsidP="00C7120B">
      <w:pPr>
        <w:spacing w:line="360" w:lineRule="auto"/>
        <w:jc w:val="both"/>
      </w:pPr>
      <w:r>
        <w:tab/>
      </w:r>
      <w:r>
        <w:tab/>
      </w:r>
      <w:r>
        <w:tab/>
      </w:r>
      <w:r>
        <w:tab/>
      </w:r>
      <w:r>
        <w:tab/>
      </w:r>
      <w:r>
        <w:tab/>
      </w:r>
      <w:r>
        <w:tab/>
      </w:r>
      <w:r>
        <w:tab/>
      </w:r>
      <w:r>
        <w:tab/>
      </w:r>
      <w:r>
        <w:tab/>
      </w:r>
      <w:r>
        <w:tab/>
        <w:t xml:space="preserve">     </w:t>
      </w:r>
      <w:r w:rsidRPr="00C5733A">
        <w:t>Wykres 25.</w:t>
      </w:r>
    </w:p>
    <w:p w:rsidR="00C5733A" w:rsidRDefault="00C5733A" w:rsidP="00C5733A">
      <w:pPr>
        <w:spacing w:line="360" w:lineRule="auto"/>
        <w:jc w:val="both"/>
      </w:pPr>
      <w:r>
        <w:t xml:space="preserve">   Temat: </w:t>
      </w:r>
      <w:r w:rsidRPr="00C5733A">
        <w:t>Problemy edukacyjne dzieci z rodzin dobrze sytuowanych do ogółu uczniów</w:t>
      </w:r>
    </w:p>
    <w:p w:rsidR="00C7120B" w:rsidRPr="00C5733A" w:rsidRDefault="00C7120B" w:rsidP="00C5733A">
      <w:pPr>
        <w:spacing w:line="360" w:lineRule="auto"/>
        <w:jc w:val="both"/>
      </w:pPr>
      <w:r>
        <w:rPr>
          <w:noProof/>
        </w:rPr>
        <w:drawing>
          <wp:anchor distT="0" distB="0" distL="114300" distR="114300" simplePos="0" relativeHeight="251670528" behindDoc="0" locked="0" layoutInCell="1" allowOverlap="1" wp14:anchorId="4B9AC344" wp14:editId="0B41EAC3">
            <wp:simplePos x="0" y="0"/>
            <wp:positionH relativeFrom="column">
              <wp:posOffset>114300</wp:posOffset>
            </wp:positionH>
            <wp:positionV relativeFrom="paragraph">
              <wp:posOffset>80010</wp:posOffset>
            </wp:positionV>
            <wp:extent cx="5257800" cy="3732530"/>
            <wp:effectExtent l="3175" t="5080" r="0" b="0"/>
            <wp:wrapNone/>
            <wp:docPr id="5" name="Wykres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C7120B" w:rsidRDefault="00C7120B" w:rsidP="00C7120B">
      <w:pPr>
        <w:tabs>
          <w:tab w:val="left" w:pos="2130"/>
        </w:tabs>
        <w:rPr>
          <w:sz w:val="20"/>
          <w:szCs w:val="20"/>
        </w:rPr>
      </w:pPr>
    </w:p>
    <w:p w:rsidR="00411258" w:rsidRDefault="00C7120B" w:rsidP="00411258">
      <w:pPr>
        <w:tabs>
          <w:tab w:val="left" w:pos="2205"/>
        </w:tabs>
      </w:pPr>
      <w:r>
        <w:rPr>
          <w:sz w:val="20"/>
          <w:szCs w:val="20"/>
        </w:rPr>
        <w:t xml:space="preserve">      </w:t>
      </w:r>
    </w:p>
    <w:p w:rsidR="00C7120B" w:rsidRPr="00411258" w:rsidRDefault="00C7120B" w:rsidP="00411258">
      <w:pPr>
        <w:tabs>
          <w:tab w:val="left" w:pos="2205"/>
        </w:tabs>
      </w:pPr>
      <w:r>
        <w:rPr>
          <w:sz w:val="20"/>
          <w:szCs w:val="20"/>
        </w:rPr>
        <w:t xml:space="preserve">    Źródło: Opracowanie własne na podstawie danych z ankiety</w:t>
      </w:r>
    </w:p>
    <w:p w:rsidR="00C7120B" w:rsidRDefault="00C7120B" w:rsidP="00C7120B">
      <w:pPr>
        <w:tabs>
          <w:tab w:val="left" w:pos="2130"/>
        </w:tabs>
        <w:rPr>
          <w:sz w:val="20"/>
          <w:szCs w:val="20"/>
        </w:rPr>
      </w:pPr>
    </w:p>
    <w:p w:rsidR="00C7120B" w:rsidRDefault="00C7120B" w:rsidP="00C7120B">
      <w:pPr>
        <w:jc w:val="center"/>
        <w:rPr>
          <w:sz w:val="22"/>
          <w:szCs w:val="22"/>
        </w:rPr>
      </w:pPr>
    </w:p>
    <w:p w:rsidR="00C7120B" w:rsidRDefault="00C7120B" w:rsidP="00C7120B">
      <w:pPr>
        <w:spacing w:line="360" w:lineRule="auto"/>
        <w:jc w:val="both"/>
      </w:pPr>
      <w:r>
        <w:t xml:space="preserve">          Zgodnie z tym, co zadeklarowała większość badanych (56,0%) nie istnieje jakaś znacząca ilościowa (liczebna) różnica w doświadczaniu niepowodzeń w edukacji przez dzieci z rodzin o wysokim statusie społecznym i materialnym w odniesieniu do pozostałych uczniów. Zastanawiająca może być relacja co czwartej osoby badanej (24,0%), twierdzącej, że tego typu problemy uczniów, będących przedmiotem zainteresowania badawczego, są nawet mniejsze. 12,0% respondentów było zdania, że ich skala jest większa w stosunku do ogółu dzieci.</w:t>
      </w:r>
    </w:p>
    <w:p w:rsidR="00C7120B" w:rsidRDefault="00C7120B" w:rsidP="00C7120B">
      <w:pPr>
        <w:spacing w:line="360" w:lineRule="auto"/>
        <w:jc w:val="both"/>
      </w:pPr>
      <w:r>
        <w:t xml:space="preserve">          Można zatem przyjąć, że nie ma większych różnić w zakresie (skali) występowaniu zjawiska niepowodzeń szkolnych dzieci z zamożnych rodzin i ogółu uczniów. Trudno tutaj mówić o przewadze liczebnej, ilościowej jednych uczniów nad drugimi. Być może nawet tego </w:t>
      </w:r>
      <w:r>
        <w:lastRenderedPageBreak/>
        <w:t xml:space="preserve">typu problemy nieco rzadziej występują w grupie dzieci, pochodzących z rodzin liczących się w hierarchii społecznej. </w:t>
      </w:r>
    </w:p>
    <w:p w:rsidR="00C7120B" w:rsidRDefault="00C7120B" w:rsidP="00C7120B">
      <w:pPr>
        <w:tabs>
          <w:tab w:val="left" w:pos="1830"/>
          <w:tab w:val="left" w:pos="8460"/>
        </w:tabs>
        <w:spacing w:line="360" w:lineRule="auto"/>
        <w:rPr>
          <w:b/>
          <w:sz w:val="26"/>
          <w:szCs w:val="26"/>
        </w:rPr>
      </w:pPr>
    </w:p>
    <w:p w:rsidR="00C7120B" w:rsidRDefault="00721FD1" w:rsidP="00C7120B">
      <w:pPr>
        <w:spacing w:line="360" w:lineRule="auto"/>
        <w:jc w:val="both"/>
        <w:rPr>
          <w:b/>
          <w:sz w:val="26"/>
          <w:szCs w:val="26"/>
        </w:rPr>
      </w:pPr>
      <w:r>
        <w:rPr>
          <w:b/>
          <w:sz w:val="26"/>
          <w:szCs w:val="26"/>
        </w:rPr>
        <w:t>4</w:t>
      </w:r>
      <w:r w:rsidR="00C7120B">
        <w:rPr>
          <w:b/>
          <w:sz w:val="26"/>
          <w:szCs w:val="26"/>
        </w:rPr>
        <w:t>.4. Stosunek rodziców do niepowodzeń szkolnych dzieci</w:t>
      </w:r>
    </w:p>
    <w:p w:rsidR="00C7120B" w:rsidRDefault="00C7120B" w:rsidP="00C7120B">
      <w:pPr>
        <w:spacing w:line="360" w:lineRule="auto"/>
        <w:jc w:val="both"/>
      </w:pPr>
    </w:p>
    <w:p w:rsidR="00C7120B" w:rsidRDefault="00C7120B" w:rsidP="00C7120B">
      <w:pPr>
        <w:spacing w:line="360" w:lineRule="auto"/>
        <w:jc w:val="both"/>
      </w:pPr>
      <w:r>
        <w:t xml:space="preserve">           Istotnym zamierzeniem badawczym było stwierdzenie czy rodzice o wysokim statusie majątkowym i społecznym interesują się sytuacją niepowodzeń edukacyjnych swoich dzieci, jak często kontaktują się ze szkołą (wychowawcą) oraz jaka jest ich reakcja na problemy szkolne syna/córki. Zgromadzony materiał empiryczny zilustrowano graficznie na wykresach 26-28.</w:t>
      </w:r>
    </w:p>
    <w:p w:rsidR="00CF3F45" w:rsidRDefault="00CF3F45" w:rsidP="00C7120B">
      <w:pPr>
        <w:spacing w:line="360" w:lineRule="auto"/>
        <w:jc w:val="both"/>
      </w:pPr>
      <w:r>
        <w:tab/>
      </w:r>
      <w:r>
        <w:tab/>
      </w:r>
      <w:r>
        <w:tab/>
      </w:r>
      <w:r>
        <w:tab/>
      </w:r>
      <w:r>
        <w:tab/>
      </w:r>
      <w:r>
        <w:tab/>
      </w:r>
      <w:r>
        <w:tab/>
      </w:r>
      <w:r>
        <w:tab/>
      </w:r>
      <w:r>
        <w:tab/>
      </w:r>
      <w:r>
        <w:tab/>
      </w:r>
      <w:r>
        <w:tab/>
      </w:r>
      <w:r w:rsidRPr="00CF3F45">
        <w:t>Wykres 26.</w:t>
      </w:r>
    </w:p>
    <w:p w:rsidR="00C7120B" w:rsidRPr="00CF3F45" w:rsidRDefault="00CF3F45" w:rsidP="00CF3F45">
      <w:r>
        <w:t xml:space="preserve">Temat: </w:t>
      </w:r>
      <w:r w:rsidRPr="00CF3F45">
        <w:t xml:space="preserve">Zainteresowanie rodziców o wysokim statusie majątkowym i społecznym </w:t>
      </w:r>
      <w:r w:rsidRPr="00CF3F45">
        <w:br/>
      </w:r>
      <w:r>
        <w:t xml:space="preserve">  </w:t>
      </w:r>
      <w:r w:rsidRPr="00CF3F45">
        <w:t xml:space="preserve">           sytuacją niepowodzeń edukacyjnych swoich dzieci</w:t>
      </w:r>
    </w:p>
    <w:p w:rsidR="00C7120B" w:rsidRDefault="00C7120B" w:rsidP="00C7120B">
      <w:pPr>
        <w:rPr>
          <w:sz w:val="22"/>
          <w:szCs w:val="22"/>
        </w:rPr>
      </w:pPr>
      <w:r>
        <w:rPr>
          <w:noProof/>
        </w:rPr>
        <w:drawing>
          <wp:anchor distT="0" distB="0" distL="114300" distR="114300" simplePos="0" relativeHeight="251671552" behindDoc="0" locked="0" layoutInCell="1" allowOverlap="1">
            <wp:simplePos x="0" y="0"/>
            <wp:positionH relativeFrom="column">
              <wp:posOffset>114300</wp:posOffset>
            </wp:positionH>
            <wp:positionV relativeFrom="paragraph">
              <wp:posOffset>93345</wp:posOffset>
            </wp:positionV>
            <wp:extent cx="5495925" cy="3571240"/>
            <wp:effectExtent l="3175" t="3175" r="0" b="0"/>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130"/>
        </w:tabs>
        <w:rPr>
          <w:sz w:val="20"/>
          <w:szCs w:val="20"/>
        </w:rPr>
      </w:pPr>
      <w:r>
        <w:rPr>
          <w:sz w:val="22"/>
          <w:szCs w:val="22"/>
        </w:rPr>
        <w:tab/>
      </w:r>
      <w:r>
        <w:rPr>
          <w:sz w:val="20"/>
          <w:szCs w:val="20"/>
        </w:rPr>
        <w:t xml:space="preserve"> </w:t>
      </w:r>
    </w:p>
    <w:p w:rsidR="00C7120B" w:rsidRDefault="00C7120B" w:rsidP="00C7120B">
      <w:pPr>
        <w:tabs>
          <w:tab w:val="left" w:pos="2130"/>
        </w:tabs>
        <w:rPr>
          <w:sz w:val="20"/>
          <w:szCs w:val="20"/>
        </w:rPr>
      </w:pPr>
    </w:p>
    <w:p w:rsidR="00E26639" w:rsidRDefault="00E26639" w:rsidP="00E26639">
      <w:pPr>
        <w:rPr>
          <w:sz w:val="20"/>
          <w:szCs w:val="20"/>
        </w:rPr>
      </w:pPr>
    </w:p>
    <w:p w:rsidR="00C7120B" w:rsidRPr="00E26639" w:rsidRDefault="00C7120B" w:rsidP="00E26639">
      <w:pPr>
        <w:rPr>
          <w:sz w:val="22"/>
          <w:szCs w:val="22"/>
        </w:rPr>
      </w:pPr>
      <w:r>
        <w:rPr>
          <w:sz w:val="20"/>
          <w:szCs w:val="20"/>
        </w:rPr>
        <w:t xml:space="preserve">    Źródło: Opracowanie własne na podstawie danych z ankiety</w:t>
      </w:r>
    </w:p>
    <w:p w:rsidR="00E26639" w:rsidRDefault="00E26639" w:rsidP="00C7120B">
      <w:pPr>
        <w:spacing w:line="360" w:lineRule="auto"/>
        <w:jc w:val="both"/>
      </w:pPr>
    </w:p>
    <w:p w:rsidR="00C7120B" w:rsidRDefault="00C7120B" w:rsidP="00C7120B">
      <w:pPr>
        <w:spacing w:line="360" w:lineRule="auto"/>
        <w:jc w:val="both"/>
      </w:pPr>
      <w:r>
        <w:t xml:space="preserve">         Zgodnie z ustaleniami poczynionymi w trakcie analizy materiału empirycznego, rodzice na ogół przejawiają zainteresowanie kłopotami w nauce, jakich doświadczają ich dzieci. Na tak postawione pytanie twierdząco odpowiedziało 84,0% respondentów. Część osób z tej grupy była o tym zupełnie przekonana („raczej tak” – 44,0%), pozostali natomiast wskazali na wariant „raczej tak” (40%). Warto zauważyć, że niemal co piąty nauczycie  uznał, że w zasadzie rodzice ignorują problemy swoich dzieci związane z nauką (raczej nie” – 16,0%, „nie” – 2,0%).</w:t>
      </w:r>
    </w:p>
    <w:p w:rsidR="00C7120B" w:rsidRDefault="00C7120B" w:rsidP="00C7120B">
      <w:pPr>
        <w:spacing w:line="360" w:lineRule="auto"/>
        <w:jc w:val="both"/>
      </w:pPr>
      <w:r>
        <w:lastRenderedPageBreak/>
        <w:t xml:space="preserve">          Można więc przyjąć, że przeważająca większość rodziców o wysokim statusie społecznym wykazuje na ogół zainteresowanie nauką własnych dzieci, jednak około 1/5 spośród ogółu rodziców charakteryzuje się zupełnie odmienną postawą. W związku</w:t>
      </w:r>
      <w:r>
        <w:br/>
        <w:t xml:space="preserve"> z tym należało rozpoznać jak często rodzice kontaktują się ze szkołą (wychowawcą), co może stanowić jeden z wyznaczników stopnia zainteresowania sytuacją szkolną syna/córki. Odpowiedzi na tak sformułowane pytanie podzielono na pięć kategorii: „bardzo często”, „często”, „rzadko”, „bardzo rzadko” oraz „w ogóle się nie interesują”. Dane na ten temat przedstawia wykres 27.</w:t>
      </w:r>
    </w:p>
    <w:p w:rsidR="00A208EF" w:rsidRDefault="00A208EF" w:rsidP="00C7120B">
      <w:pPr>
        <w:spacing w:line="360" w:lineRule="auto"/>
        <w:jc w:val="both"/>
      </w:pPr>
      <w:r>
        <w:tab/>
      </w:r>
      <w:r>
        <w:tab/>
      </w:r>
      <w:r>
        <w:tab/>
      </w:r>
      <w:r>
        <w:tab/>
      </w:r>
      <w:r>
        <w:tab/>
      </w:r>
      <w:r>
        <w:tab/>
      </w:r>
      <w:r>
        <w:tab/>
      </w:r>
      <w:r>
        <w:tab/>
      </w:r>
      <w:r>
        <w:tab/>
      </w:r>
      <w:r>
        <w:tab/>
      </w:r>
      <w:r>
        <w:tab/>
      </w:r>
      <w:r w:rsidRPr="00A208EF">
        <w:t>Wykres 27.</w:t>
      </w:r>
    </w:p>
    <w:p w:rsidR="00C7120B" w:rsidRPr="00A208EF" w:rsidRDefault="00A208EF" w:rsidP="00A208EF">
      <w:pPr>
        <w:tabs>
          <w:tab w:val="left" w:pos="1635"/>
        </w:tabs>
        <w:spacing w:line="360" w:lineRule="auto"/>
      </w:pPr>
      <w:r>
        <w:t xml:space="preserve">   Temat: </w:t>
      </w:r>
      <w:r w:rsidRPr="00A208EF">
        <w:t>Częstotliwość kontaktów rodziców ze szkołą (wychowawcą)</w:t>
      </w:r>
    </w:p>
    <w:p w:rsidR="00C7120B" w:rsidRDefault="00C7120B" w:rsidP="00C7120B">
      <w:pPr>
        <w:tabs>
          <w:tab w:val="left" w:pos="1635"/>
        </w:tabs>
        <w:rPr>
          <w:b/>
          <w:sz w:val="22"/>
          <w:szCs w:val="22"/>
        </w:rPr>
      </w:pPr>
      <w:r>
        <w:rPr>
          <w:noProof/>
        </w:rPr>
        <w:drawing>
          <wp:anchor distT="0" distB="0" distL="114300" distR="114300" simplePos="0" relativeHeight="251675648" behindDoc="0" locked="0" layoutInCell="1" allowOverlap="1">
            <wp:simplePos x="0" y="0"/>
            <wp:positionH relativeFrom="column">
              <wp:posOffset>114300</wp:posOffset>
            </wp:positionH>
            <wp:positionV relativeFrom="paragraph">
              <wp:posOffset>11430</wp:posOffset>
            </wp:positionV>
            <wp:extent cx="5506720" cy="3736340"/>
            <wp:effectExtent l="3175" t="0" r="0" b="1905"/>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Pr="00A208EF" w:rsidRDefault="00C7120B" w:rsidP="00C7120B">
      <w:pPr>
        <w:tabs>
          <w:tab w:val="left" w:pos="1635"/>
        </w:tabs>
        <w:spacing w:line="360" w:lineRule="auto"/>
      </w:pPr>
      <w:r>
        <w:rPr>
          <w:sz w:val="22"/>
          <w:szCs w:val="22"/>
        </w:rPr>
        <w:t xml:space="preserve">     </w:t>
      </w:r>
    </w:p>
    <w:p w:rsidR="00C7120B" w:rsidRDefault="00C7120B" w:rsidP="00C7120B">
      <w:pPr>
        <w:tabs>
          <w:tab w:val="left" w:pos="2700"/>
        </w:tabs>
        <w:spacing w:line="360" w:lineRule="auto"/>
        <w:rPr>
          <w:sz w:val="22"/>
          <w:szCs w:val="22"/>
        </w:rPr>
      </w:pPr>
      <w:r>
        <w:rPr>
          <w:sz w:val="20"/>
          <w:szCs w:val="20"/>
        </w:rPr>
        <w:t xml:space="preserve">      Źródło: Opracowanie własne na podstawie danych z ankiety</w:t>
      </w:r>
    </w:p>
    <w:p w:rsidR="00C7120B" w:rsidRDefault="00C7120B" w:rsidP="00C7120B">
      <w:pPr>
        <w:rPr>
          <w:sz w:val="22"/>
          <w:szCs w:val="22"/>
        </w:rPr>
      </w:pPr>
    </w:p>
    <w:p w:rsidR="00C7120B" w:rsidRDefault="00C7120B" w:rsidP="00C7120B">
      <w:pPr>
        <w:spacing w:line="360" w:lineRule="auto"/>
        <w:jc w:val="both"/>
      </w:pPr>
      <w:r>
        <w:t xml:space="preserve">          Odpowiedzi badanych skoncentrowane były na dwóch wariantach: „rzadko” </w:t>
      </w:r>
      <w:r>
        <w:br/>
        <w:t>i bardzo często”. Pierwsza z tych odpowiedzi miała 44,0% wskazań. Zatem przeciętnie niemal co druga osoba uznała, że kontakty rodziców ze szkołą w sprawie dzieci mają miejsce na ogół rzadko. Z kolei co piąty respondent stwierdził, że mają one charakter częsty. Wskazania marginalne miał wariant „bardzo rzadko” (10,0%) oraz „bardzo często” (4,0%). W ocenie nauczycieli około 20% rodziców w ogóle nie kontaktuje się ze szkołą (wychowawcą).</w:t>
      </w:r>
    </w:p>
    <w:p w:rsidR="00C7120B" w:rsidRDefault="00C7120B" w:rsidP="00C7120B">
      <w:pPr>
        <w:spacing w:line="360" w:lineRule="auto"/>
        <w:jc w:val="both"/>
      </w:pPr>
      <w:r>
        <w:t xml:space="preserve">          Uznać więc należy, że rodzice na ogół interesują się problemami szkolnymi swoich dzieci, jednak w większości te kontakty są stosunkowo rzadkie. Zdaniem nauczycieli objętych badaniem najbardziej niepokojące jest to, że pewna grupa rodziców całkowicie unika kontaktów </w:t>
      </w:r>
      <w:r>
        <w:lastRenderedPageBreak/>
        <w:t>z placówką szkolną, do której uczęszcza ich syn/córka, mający/mająca problemy związane z nauką.</w:t>
      </w:r>
    </w:p>
    <w:p w:rsidR="00477CC4" w:rsidRDefault="00C7120B" w:rsidP="00C7120B">
      <w:pPr>
        <w:spacing w:line="360" w:lineRule="auto"/>
        <w:jc w:val="both"/>
      </w:pPr>
      <w:r>
        <w:t xml:space="preserve">          Na podstawie pytania odpowiedniej treści zamieszczonego w ankiecie, próbowano określić czy kontakty rodziców, których dzieci mają problemy w nauce, </w:t>
      </w:r>
      <w:r>
        <w:br/>
        <w:t>w stosunku do ogółu rodziców są częstsze, rzadsze, czy też nie ma większej różnicy odnośnie tego wskaźnika. Zgromadzone dane w tej przedmiotowej kwestii obrazuje wykres 28.</w:t>
      </w:r>
    </w:p>
    <w:p w:rsidR="00477CC4" w:rsidRDefault="00477CC4" w:rsidP="00C7120B">
      <w:pPr>
        <w:spacing w:line="360" w:lineRule="auto"/>
        <w:jc w:val="both"/>
      </w:pPr>
      <w:r>
        <w:tab/>
      </w:r>
      <w:r>
        <w:tab/>
      </w:r>
      <w:r>
        <w:tab/>
      </w:r>
      <w:r>
        <w:tab/>
      </w:r>
      <w:r>
        <w:tab/>
      </w:r>
      <w:r>
        <w:tab/>
      </w:r>
      <w:r>
        <w:tab/>
      </w:r>
      <w:r>
        <w:tab/>
      </w:r>
      <w:r>
        <w:tab/>
      </w:r>
      <w:r>
        <w:tab/>
      </w:r>
      <w:r>
        <w:tab/>
      </w:r>
      <w:r w:rsidRPr="00477CC4">
        <w:t>Wykres 28.</w:t>
      </w:r>
    </w:p>
    <w:p w:rsidR="00C7120B" w:rsidRDefault="00477CC4" w:rsidP="00C7120B">
      <w:pPr>
        <w:spacing w:line="360" w:lineRule="auto"/>
        <w:jc w:val="both"/>
      </w:pPr>
      <w:r>
        <w:t xml:space="preserve">   Temat: </w:t>
      </w:r>
      <w:r w:rsidRPr="00477CC4">
        <w:t>Częstotliwość kontaktów rodziców dobrze sytuowanych do ogółu rodziców</w:t>
      </w:r>
      <w:r>
        <w:rPr>
          <w:noProof/>
        </w:rPr>
        <w:t xml:space="preserve"> </w:t>
      </w:r>
      <w:r w:rsidR="00C7120B">
        <w:rPr>
          <w:noProof/>
        </w:rPr>
        <w:drawing>
          <wp:anchor distT="0" distB="0" distL="114300" distR="114300" simplePos="0" relativeHeight="251672576" behindDoc="0" locked="0" layoutInCell="1" allowOverlap="1">
            <wp:simplePos x="0" y="0"/>
            <wp:positionH relativeFrom="column">
              <wp:posOffset>114300</wp:posOffset>
            </wp:positionH>
            <wp:positionV relativeFrom="paragraph">
              <wp:posOffset>172085</wp:posOffset>
            </wp:positionV>
            <wp:extent cx="5506720" cy="3732530"/>
            <wp:effectExtent l="3175" t="5080" r="0" b="0"/>
            <wp:wrapNone/>
            <wp:docPr id="2" name="Wykres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r w:rsidR="00C7120B">
        <w:t xml:space="preserve">         </w:t>
      </w: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700"/>
        </w:tabs>
        <w:rPr>
          <w:sz w:val="22"/>
          <w:szCs w:val="22"/>
        </w:rPr>
      </w:pPr>
      <w:r>
        <w:rPr>
          <w:sz w:val="22"/>
          <w:szCs w:val="22"/>
        </w:rPr>
        <w:tab/>
        <w:t xml:space="preserve">    </w:t>
      </w:r>
    </w:p>
    <w:p w:rsidR="00C7120B" w:rsidRDefault="00C7120B" w:rsidP="00C7120B">
      <w:pPr>
        <w:tabs>
          <w:tab w:val="left" w:pos="2700"/>
        </w:tabs>
        <w:rPr>
          <w:sz w:val="22"/>
          <w:szCs w:val="22"/>
        </w:rPr>
      </w:pPr>
    </w:p>
    <w:p w:rsidR="00C7120B" w:rsidRPr="00477CC4" w:rsidRDefault="00C7120B" w:rsidP="00C7120B">
      <w:r>
        <w:rPr>
          <w:sz w:val="20"/>
          <w:szCs w:val="20"/>
        </w:rPr>
        <w:t xml:space="preserve">     </w:t>
      </w:r>
    </w:p>
    <w:p w:rsidR="00C7120B" w:rsidRDefault="00C7120B" w:rsidP="00C7120B">
      <w:pPr>
        <w:tabs>
          <w:tab w:val="left" w:pos="2700"/>
        </w:tabs>
        <w:spacing w:line="360" w:lineRule="auto"/>
        <w:rPr>
          <w:sz w:val="20"/>
          <w:szCs w:val="20"/>
        </w:rPr>
      </w:pPr>
      <w:r>
        <w:rPr>
          <w:sz w:val="20"/>
          <w:szCs w:val="20"/>
        </w:rPr>
        <w:t xml:space="preserve">     Źródło: Opracowanie własne na podstawie danych z ankiety</w:t>
      </w:r>
    </w:p>
    <w:p w:rsidR="00C7120B" w:rsidRDefault="00C7120B" w:rsidP="00C7120B">
      <w:pPr>
        <w:tabs>
          <w:tab w:val="left" w:pos="2700"/>
        </w:tabs>
        <w:rPr>
          <w:sz w:val="20"/>
          <w:szCs w:val="20"/>
        </w:rPr>
      </w:pPr>
    </w:p>
    <w:p w:rsidR="00C7120B" w:rsidRDefault="00C7120B" w:rsidP="00C7120B">
      <w:pPr>
        <w:spacing w:line="360" w:lineRule="auto"/>
        <w:jc w:val="both"/>
      </w:pPr>
      <w:r>
        <w:t xml:space="preserve">          Nauczyciele objęci badaniem wskazywali na różne warianty odpowiedzi. Największa grupa (40,0%) stwierdziła, że nie dostrzega istotnej różnicy </w:t>
      </w:r>
      <w:r>
        <w:br/>
        <w:t xml:space="preserve">w częstotliwości kontaktów ze szkołą (wychowawcą, nauczycielami) pomiędzy tymi dwoma wcześniej wyróżnionymi kategoriami rodziców. Poza tą grupą 28,0% respondentów uznało, że kontakty te są rzadsze, zaś 22,0%, że częstsze. Co dziesiąta osoba ankietowana nie miała wyrobionego zdania w tej kwestii („trudno powiedzieć” – 10,0%). </w:t>
      </w:r>
    </w:p>
    <w:p w:rsidR="00C7120B" w:rsidRDefault="00C7120B" w:rsidP="00C7120B">
      <w:pPr>
        <w:spacing w:line="360" w:lineRule="auto"/>
        <w:jc w:val="both"/>
      </w:pPr>
      <w:r>
        <w:t xml:space="preserve">          Z tak ukształtowanej proporcji odpowiedzi można wnosić, że w zasadzie częstotliwość kontaktów rodziców, zarówno tych, którzy osiągnęli wysoką pozycję społeczną, jak i pozostałych, jest analogiczna. W jednym i w drugim przypadku zainteresowanie problemami szkolnymi jest na ogół niedostateczne, niewystarczające, zważywszy na częstość odbytych spotkań rodziców z przedstawicielami szkoły.</w:t>
      </w:r>
    </w:p>
    <w:p w:rsidR="00EC6582" w:rsidRDefault="00C7120B" w:rsidP="00C7120B">
      <w:pPr>
        <w:spacing w:line="360" w:lineRule="auto"/>
        <w:jc w:val="both"/>
      </w:pPr>
      <w:r>
        <w:lastRenderedPageBreak/>
        <w:t xml:space="preserve">          Interesującym zagadnieniem badawczym była sprawa jak rodzice reagują na problemy swoich dzieci, które doświadczają niepowodzeń szkolnych. Oczywiście chodziło o rodziców, którzy mają wysoki status społeczny. Założono, że rodzice mogą współpracować ze szkołą, obwiniać szkołę za problemy swoich dzieci, uznawać swoją winę i starać się rozwiązać problem. Mogą również zachowywać się biernie w tej sytuacji, a nawet ignorować zaistniałe u dzieci kłopoty szkolne. Takie też możliwości wyboru umieszczono w kafeterii odpowiedzi. Strukturę procentową wyborów respondentów ukazano na wykresie 29.</w:t>
      </w:r>
    </w:p>
    <w:p w:rsidR="00EC6582" w:rsidRDefault="00EC6582" w:rsidP="00C7120B">
      <w:pPr>
        <w:spacing w:line="360" w:lineRule="auto"/>
        <w:jc w:val="both"/>
      </w:pPr>
      <w:r>
        <w:tab/>
      </w:r>
      <w:r>
        <w:tab/>
      </w:r>
      <w:r>
        <w:tab/>
      </w:r>
      <w:r>
        <w:tab/>
      </w:r>
      <w:r>
        <w:tab/>
      </w:r>
      <w:r>
        <w:tab/>
      </w:r>
      <w:r>
        <w:tab/>
      </w:r>
      <w:r>
        <w:tab/>
      </w:r>
      <w:r>
        <w:tab/>
      </w:r>
      <w:r>
        <w:tab/>
      </w:r>
      <w:r>
        <w:tab/>
      </w:r>
      <w:r>
        <w:rPr>
          <w:sz w:val="22"/>
          <w:szCs w:val="22"/>
        </w:rPr>
        <w:t xml:space="preserve">  Wykres 29.</w:t>
      </w:r>
    </w:p>
    <w:p w:rsidR="00EC6582" w:rsidRDefault="00EC6582" w:rsidP="00EC6582">
      <w:pPr>
        <w:tabs>
          <w:tab w:val="left" w:pos="2700"/>
        </w:tabs>
        <w:rPr>
          <w:sz w:val="22"/>
          <w:szCs w:val="22"/>
        </w:rPr>
      </w:pPr>
      <w:r>
        <w:rPr>
          <w:sz w:val="22"/>
          <w:szCs w:val="22"/>
        </w:rPr>
        <w:t xml:space="preserve">Temat: </w:t>
      </w:r>
      <w:r>
        <w:rPr>
          <w:sz w:val="22"/>
          <w:szCs w:val="22"/>
        </w:rPr>
        <w:t xml:space="preserve">Reagowanie rodziców o wysokim statusie społecznym i majątkowym na </w:t>
      </w:r>
      <w:r>
        <w:rPr>
          <w:sz w:val="22"/>
          <w:szCs w:val="22"/>
        </w:rPr>
        <w:br/>
      </w:r>
      <w:r>
        <w:rPr>
          <w:sz w:val="22"/>
          <w:szCs w:val="22"/>
        </w:rPr>
        <w:t xml:space="preserve">      </w:t>
      </w:r>
      <w:r>
        <w:rPr>
          <w:sz w:val="22"/>
          <w:szCs w:val="22"/>
        </w:rPr>
        <w:t xml:space="preserve">       problemy dzieci, które doświadczają niepowodzeń szkolnych</w:t>
      </w:r>
    </w:p>
    <w:p w:rsidR="00EC6582" w:rsidRDefault="00EC6582" w:rsidP="00C7120B">
      <w:pPr>
        <w:spacing w:line="360" w:lineRule="auto"/>
        <w:jc w:val="both"/>
      </w:pPr>
      <w:bookmarkStart w:id="0" w:name="_GoBack"/>
      <w:r>
        <w:rPr>
          <w:noProof/>
        </w:rPr>
        <w:drawing>
          <wp:anchor distT="0" distB="0" distL="114300" distR="114300" simplePos="0" relativeHeight="251673600" behindDoc="0" locked="0" layoutInCell="1" allowOverlap="1" wp14:anchorId="226A610A" wp14:editId="6619768D">
            <wp:simplePos x="0" y="0"/>
            <wp:positionH relativeFrom="column">
              <wp:posOffset>2559</wp:posOffset>
            </wp:positionH>
            <wp:positionV relativeFrom="paragraph">
              <wp:posOffset>91304</wp:posOffset>
            </wp:positionV>
            <wp:extent cx="5492010" cy="3904432"/>
            <wp:effectExtent l="0" t="0" r="13970" b="20320"/>
            <wp:wrapNone/>
            <wp:docPr id="1" name="Wykres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bookmarkEnd w:id="0"/>
    </w:p>
    <w:p w:rsidR="00C7120B" w:rsidRDefault="00C7120B" w:rsidP="00C7120B">
      <w:pPr>
        <w:tabs>
          <w:tab w:val="left" w:pos="2970"/>
        </w:tabs>
        <w:rPr>
          <w:b/>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rPr>
          <w:sz w:val="22"/>
          <w:szCs w:val="22"/>
        </w:rPr>
      </w:pPr>
    </w:p>
    <w:p w:rsidR="00C7120B" w:rsidRDefault="00C7120B" w:rsidP="00C7120B">
      <w:pPr>
        <w:tabs>
          <w:tab w:val="left" w:pos="2700"/>
        </w:tabs>
        <w:rPr>
          <w:sz w:val="22"/>
          <w:szCs w:val="22"/>
        </w:rPr>
      </w:pPr>
    </w:p>
    <w:p w:rsidR="00EC6582" w:rsidRDefault="00EC6582" w:rsidP="00C7120B">
      <w:pPr>
        <w:tabs>
          <w:tab w:val="left" w:pos="2700"/>
        </w:tabs>
        <w:rPr>
          <w:sz w:val="22"/>
          <w:szCs w:val="22"/>
        </w:rPr>
      </w:pPr>
    </w:p>
    <w:p w:rsidR="00EC6582" w:rsidRDefault="00EC6582" w:rsidP="00C7120B">
      <w:pPr>
        <w:tabs>
          <w:tab w:val="left" w:pos="2700"/>
        </w:tabs>
        <w:rPr>
          <w:sz w:val="22"/>
          <w:szCs w:val="22"/>
        </w:rPr>
      </w:pPr>
    </w:p>
    <w:p w:rsidR="00C7120B" w:rsidRDefault="00C7120B" w:rsidP="00C7120B">
      <w:pPr>
        <w:tabs>
          <w:tab w:val="left" w:pos="2700"/>
        </w:tabs>
        <w:rPr>
          <w:sz w:val="22"/>
          <w:szCs w:val="22"/>
        </w:rPr>
      </w:pPr>
    </w:p>
    <w:p w:rsidR="00C7120B" w:rsidRDefault="00C7120B" w:rsidP="00C7120B">
      <w:pPr>
        <w:tabs>
          <w:tab w:val="left" w:pos="2700"/>
        </w:tabs>
        <w:rPr>
          <w:sz w:val="20"/>
          <w:szCs w:val="20"/>
        </w:rPr>
      </w:pPr>
      <w:r>
        <w:rPr>
          <w:sz w:val="20"/>
          <w:szCs w:val="20"/>
        </w:rPr>
        <w:t xml:space="preserve">  Źródło: Opracowanie własne na podstawie danych z ankiety</w:t>
      </w:r>
    </w:p>
    <w:p w:rsidR="00C7120B" w:rsidRDefault="00C7120B" w:rsidP="00C7120B">
      <w:pPr>
        <w:spacing w:line="360" w:lineRule="auto"/>
        <w:jc w:val="both"/>
      </w:pPr>
      <w:r>
        <w:t xml:space="preserve">          Zgodnie z tym, co deklarowali w swoich odpowiedziach nauczyciele, rodzice dość często obarczają szkołę za niepowodzenia swoich dzieci. Tak właśnie stwierdziło aż 34% respondentów. Jednak spora część osób ankietowanych wyraziła zdanie, że rodzice uznają swoją winę i dąży do rozwiązania problemu (30%), a przy tym chętnie współpracuje ze szkołą (20%). Nieliczni rodzice w takiej sytuacji zachowują się dość biernie (10%) lub też lekceważą problem czy nawet zupełnie go ignorują (6%).</w:t>
      </w:r>
    </w:p>
    <w:p w:rsidR="00C7120B" w:rsidRDefault="00C7120B" w:rsidP="00C7120B">
      <w:pPr>
        <w:tabs>
          <w:tab w:val="left" w:pos="2700"/>
        </w:tabs>
        <w:rPr>
          <w:sz w:val="20"/>
          <w:szCs w:val="20"/>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rPr>
          <w:b/>
        </w:rPr>
      </w:pPr>
    </w:p>
    <w:p w:rsidR="00C7120B" w:rsidRDefault="00C7120B" w:rsidP="00C7120B">
      <w:pPr>
        <w:spacing w:line="360" w:lineRule="auto"/>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b/>
        </w:rPr>
      </w:pPr>
    </w:p>
    <w:p w:rsidR="00C7120B" w:rsidRDefault="00C7120B" w:rsidP="00C7120B">
      <w:pPr>
        <w:spacing w:line="360" w:lineRule="auto"/>
        <w:jc w:val="center"/>
        <w:rPr>
          <w:color w:val="0000FF"/>
        </w:rPr>
      </w:pPr>
      <w:r>
        <w:rPr>
          <w:b/>
        </w:rPr>
        <w:t>WNIOSKI Z BADAŃ</w:t>
      </w:r>
    </w:p>
    <w:p w:rsidR="00C7120B" w:rsidRDefault="00C7120B" w:rsidP="00C7120B">
      <w:pPr>
        <w:spacing w:line="360" w:lineRule="auto"/>
        <w:jc w:val="center"/>
        <w:rPr>
          <w:b/>
        </w:rPr>
      </w:pPr>
    </w:p>
    <w:p w:rsidR="00C7120B" w:rsidRDefault="00C7120B" w:rsidP="00C7120B">
      <w:pPr>
        <w:spacing w:line="360" w:lineRule="auto"/>
        <w:jc w:val="both"/>
      </w:pPr>
      <w:r>
        <w:rPr>
          <w:color w:val="0000FF"/>
        </w:rPr>
        <w:t xml:space="preserve">          </w:t>
      </w:r>
      <w:r>
        <w:t>Analiza materiału empirycznego upoważnia do sformułowania następujących wniosków:</w:t>
      </w:r>
    </w:p>
    <w:p w:rsidR="00C7120B" w:rsidRDefault="00C7120B" w:rsidP="00C7120B">
      <w:pPr>
        <w:numPr>
          <w:ilvl w:val="0"/>
          <w:numId w:val="1"/>
        </w:numPr>
        <w:tabs>
          <w:tab w:val="left" w:pos="1710"/>
        </w:tabs>
        <w:spacing w:line="360" w:lineRule="auto"/>
        <w:jc w:val="both"/>
      </w:pPr>
      <w:r>
        <w:t>Jak ustalono, w skład każdego zespołu klasowego wchodzi przeciętnie dwoje dzieci, których rodzice osiągnęli wysoki status społeczny i materialny. Uczniowie z takich rodzin wyróżniają się prze wszystkim sposobem ubierania się lub też sposób zachowania. Rzadko tacy uczniowie przejawiają poczucie wyższości względem rówieśników. Spora grupa takich dzieci nie wyróżnia się jednak niczym szczególnym spośród grona koleżeństwa.</w:t>
      </w:r>
    </w:p>
    <w:p w:rsidR="00C7120B" w:rsidRDefault="00C7120B" w:rsidP="00C7120B">
      <w:pPr>
        <w:numPr>
          <w:ilvl w:val="0"/>
          <w:numId w:val="1"/>
        </w:numPr>
        <w:tabs>
          <w:tab w:val="left" w:pos="1710"/>
        </w:tabs>
        <w:spacing w:line="360" w:lineRule="auto"/>
        <w:jc w:val="both"/>
      </w:pPr>
      <w:r>
        <w:t xml:space="preserve">Stwierdzono, ze stopień zaspokojenia potrzeb dzieci z rodzin zamożnych </w:t>
      </w:r>
      <w:r>
        <w:br/>
        <w:t xml:space="preserve">i dobrze sytuowanych lokalizuje się na poziomie przeciętnym z nieznaczną tendencją </w:t>
      </w:r>
      <w:r>
        <w:lastRenderedPageBreak/>
        <w:t>do niskiego, jednak i tak dzieci takie mają gorzej zaspokajane potrzeby natury psychicznej i emocjonalnej w porównaniu z grupą rówieśniczą.</w:t>
      </w:r>
    </w:p>
    <w:p w:rsidR="00C7120B" w:rsidRDefault="00C7120B" w:rsidP="00C7120B">
      <w:pPr>
        <w:numPr>
          <w:ilvl w:val="0"/>
          <w:numId w:val="1"/>
        </w:numPr>
        <w:tabs>
          <w:tab w:val="left" w:pos="1710"/>
        </w:tabs>
        <w:spacing w:line="360" w:lineRule="auto"/>
        <w:jc w:val="both"/>
      </w:pPr>
      <w:r>
        <w:t>Analiza materiału empirycznego potwierdziła, że dzieci z rodzin o wysokim statusie społecznym i materialnym są na ogół akceptowane w gronie rówieśników. Nie dostrzeżono istotnej różnicy we wpływie na koleżeństwo dzieci z bogatych rodzin w stosunku do ogółu uczniów. Czasami inni uczniowie wzorują się na nich lub podporządkowują się im, rzadko natomiast takie dzieci potrafią przewodzić w grupie. Wpływ takich dzieci na koleżeństwo jest zazwyczaj neutralny. W bardzo nielicznych przypadkach oddziaływanie to ma charakter negatywny.</w:t>
      </w:r>
    </w:p>
    <w:p w:rsidR="00C7120B" w:rsidRDefault="00C7120B" w:rsidP="00C7120B">
      <w:pPr>
        <w:numPr>
          <w:ilvl w:val="0"/>
          <w:numId w:val="1"/>
        </w:numPr>
        <w:tabs>
          <w:tab w:val="left" w:pos="1710"/>
        </w:tabs>
        <w:spacing w:line="360" w:lineRule="auto"/>
        <w:jc w:val="both"/>
      </w:pPr>
      <w:r>
        <w:t>Zgodnie z ustaleniami badawczymi, problem niepowodzeń szkolnych dotyczy przede wszystkim uczniów pochodzących z rodzin patologicznych. Tylko około 12% dzieci z zamożnych domów doświadcza niepowodzeń edukacyjnych. Problem ten dotyka wielu uczniów, chociaż trudno ich skategoryzować.</w:t>
      </w:r>
    </w:p>
    <w:p w:rsidR="00C7120B" w:rsidRDefault="00C7120B" w:rsidP="00C7120B">
      <w:pPr>
        <w:numPr>
          <w:ilvl w:val="0"/>
          <w:numId w:val="1"/>
        </w:numPr>
        <w:tabs>
          <w:tab w:val="left" w:pos="1710"/>
        </w:tabs>
        <w:spacing w:line="360" w:lineRule="auto"/>
        <w:jc w:val="both"/>
      </w:pPr>
      <w:r>
        <w:t xml:space="preserve">Badania wskazały na to, że dzieci z rodzin o wysokim prestiżu społecznym, stwarzają rozliczne problemy wychowawcze. Wyraża się to gównie </w:t>
      </w:r>
      <w:r>
        <w:br/>
        <w:t>w niewłaściwym zachowaniu i lekceważeniu obowiązków szkolnych. skala tego zjawiska nie jest jednak wysoka. Ustalono, że problemy wychowawcze dotyczą przeciętnie  około 1/5 uczniów z takich rodzin, a w dodatku są one większe w stosunku do ogółu uczniów.</w:t>
      </w:r>
    </w:p>
    <w:p w:rsidR="00C7120B" w:rsidRDefault="00C7120B" w:rsidP="00C7120B">
      <w:pPr>
        <w:numPr>
          <w:ilvl w:val="0"/>
          <w:numId w:val="1"/>
        </w:numPr>
        <w:tabs>
          <w:tab w:val="left" w:pos="1710"/>
        </w:tabs>
        <w:spacing w:line="360" w:lineRule="auto"/>
        <w:jc w:val="both"/>
      </w:pPr>
      <w:r>
        <w:t xml:space="preserve">Analiza materiału empirycznego wykazała istnieniu pewnych problemów, związanych z niewłaściwą postawą dzieci wobec nauczycieli, jakkolwiek dotyczyło to przeciętnie tylko co trzeciego ucznia. Część dzieci z rodzin wysoko postawionych w hierarchii lokalnej społeczności ma nieodpowiedni stosunek do przełożonych w szkole, co przejawia się przede wszystkim </w:t>
      </w:r>
      <w:r>
        <w:br/>
        <w:t xml:space="preserve">w zakłócaniu porządku na zajęciach, a czasem w braku szacunku do nauczycieli czy kwestionowaniu ich autorytetu.  Jakkolwiek zdarzają się przypadki odnoszenia się czy stosunku dzieci z zamożnych rodzin do pedagogów, to jednak skala takich sytuacji jest stosunkowo niewielka. </w:t>
      </w:r>
    </w:p>
    <w:p w:rsidR="00C7120B" w:rsidRDefault="00C7120B" w:rsidP="00C7120B">
      <w:pPr>
        <w:numPr>
          <w:ilvl w:val="0"/>
          <w:numId w:val="1"/>
        </w:numPr>
        <w:tabs>
          <w:tab w:val="left" w:pos="1710"/>
        </w:tabs>
        <w:spacing w:line="360" w:lineRule="auto"/>
        <w:jc w:val="both"/>
      </w:pPr>
      <w:r>
        <w:t>Uczniowie z rodzin o wysokim statusie społecznym i finansowym mogą doświadczać niepowodzeń szkolnych. Problemy natury edukacyjnej ma około 20% takich uczniów. Podstawowym ich przejawem objawem są słabe efekty uczenia się czasami połączone z drugorocznością.  Nie zauważono większych różnić w zakresie (skali) występowaniu zjawiska niepowodzeń szkolnych dzieci z zamożnych rodzin i ogółu uczniów.</w:t>
      </w:r>
    </w:p>
    <w:p w:rsidR="00C7120B" w:rsidRDefault="00C7120B" w:rsidP="00C7120B">
      <w:pPr>
        <w:numPr>
          <w:ilvl w:val="0"/>
          <w:numId w:val="1"/>
        </w:numPr>
        <w:tabs>
          <w:tab w:val="left" w:pos="1710"/>
        </w:tabs>
        <w:spacing w:line="360" w:lineRule="auto"/>
        <w:jc w:val="both"/>
      </w:pPr>
      <w:r>
        <w:t xml:space="preserve"> Jak ustalono, problemy edukacyjne wynikają z zaległości z wcześniejszych lat edukacji, lekceważącego stosunku do obowiązków szkolnych, braku większego </w:t>
      </w:r>
      <w:r>
        <w:lastRenderedPageBreak/>
        <w:t>zainteresowania nauką, (braku motywacji do niej), braku koncentracji na zajęciach czy też nieistniejącej  kontroli lub zaniedbań ze strony rodziców.</w:t>
      </w:r>
    </w:p>
    <w:p w:rsidR="00C7120B" w:rsidRDefault="00C7120B" w:rsidP="00C7120B">
      <w:pPr>
        <w:numPr>
          <w:ilvl w:val="0"/>
          <w:numId w:val="1"/>
        </w:numPr>
        <w:tabs>
          <w:tab w:val="left" w:pos="1710"/>
        </w:tabs>
        <w:spacing w:line="360" w:lineRule="auto"/>
        <w:jc w:val="both"/>
      </w:pPr>
      <w:r>
        <w:t>Badania upoważniają doi stwierdzenia, że</w:t>
      </w:r>
      <w:r>
        <w:rPr>
          <w:b/>
        </w:rPr>
        <w:t xml:space="preserve"> </w:t>
      </w:r>
      <w:r>
        <w:t xml:space="preserve">odpowiedzialni za zaistniałą sytuację (tzn. doświadczenie niepowodzeń szkolnych przez dzieci </w:t>
      </w:r>
      <w:r>
        <w:br/>
        <w:t>z zamożnych rodzin) są przede wszystkim rodzice. To zaniedbania z ich strony czy brak kontroli swoich dzieci powodują, że mają one kłopoty w nauce. Oczywiście winne są też same dzieci, z uwagi na to, że nie interesują się nauką, nie uważają i nie są skoncentrowani na zajęciach czy też mają zaległości edukacyjne z wcześniejszych lat.</w:t>
      </w:r>
    </w:p>
    <w:p w:rsidR="00C7120B" w:rsidRDefault="00C7120B" w:rsidP="00C7120B">
      <w:pPr>
        <w:numPr>
          <w:ilvl w:val="0"/>
          <w:numId w:val="1"/>
        </w:numPr>
        <w:tabs>
          <w:tab w:val="left" w:pos="1710"/>
        </w:tabs>
        <w:spacing w:line="360" w:lineRule="auto"/>
        <w:jc w:val="both"/>
      </w:pPr>
      <w:r>
        <w:t xml:space="preserve">Na podstawie badań ustalono, że przeważająca większość rodziców </w:t>
      </w:r>
      <w:r>
        <w:br/>
        <w:t xml:space="preserve">o wysokim statusie społecznym wykazuje na ogół zainteresowanie nauką własnych dzieci, jednak około 1/5 spośród ogółu rodziców charakteryzuje się zupełnie odmienną postawą. Rodzice na ogół interesują się problemami szkolnymi swoich dzieci, jednak w większości te kontakty są stosunkowo rzadkie. </w:t>
      </w:r>
    </w:p>
    <w:p w:rsidR="00C7120B" w:rsidRDefault="00C7120B" w:rsidP="00C7120B">
      <w:pPr>
        <w:numPr>
          <w:ilvl w:val="0"/>
          <w:numId w:val="1"/>
        </w:numPr>
        <w:tabs>
          <w:tab w:val="left" w:pos="1710"/>
        </w:tabs>
        <w:spacing w:line="360" w:lineRule="auto"/>
        <w:jc w:val="both"/>
      </w:pPr>
      <w:r>
        <w:t xml:space="preserve">Ustalono, że częstotliwość kontaktów rodziców, zarówno tych, którzy osiągnęli wysoką pozycję społeczną, jak i pozostałych, jest analogiczna. </w:t>
      </w:r>
      <w:r>
        <w:br/>
        <w:t>W jednym i w drugim przypadku zainteresowanie problemami szkolnymi jest na ogół niedostateczne, niewystarczające, zważywszy na częstość odbytych spotkań rodziców z przedstawicielami szkoły.</w:t>
      </w:r>
    </w:p>
    <w:p w:rsidR="00C7120B" w:rsidRDefault="00C7120B" w:rsidP="00C7120B">
      <w:pPr>
        <w:numPr>
          <w:ilvl w:val="0"/>
          <w:numId w:val="1"/>
        </w:numPr>
        <w:tabs>
          <w:tab w:val="left" w:pos="1710"/>
        </w:tabs>
        <w:spacing w:line="360" w:lineRule="auto"/>
        <w:jc w:val="both"/>
      </w:pPr>
      <w:r>
        <w:t>Wyniki badań dowiodły, że rodzice dość często obarczają szkołę za niepowodzenia swoich dzieci. Jednak spora ich część jest skłonna uznać swoją winę i dąży do rozwiązania problemu, a przy tym chętnie współpracuje ze szkołą. Nieliczni rodzice w takiej sytuacji zachowują się dość biernie lub też lekceważą problem czy nawet zupełnie go ignorują.</w:t>
      </w: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both"/>
        <w:rPr>
          <w:b/>
          <w:sz w:val="24"/>
        </w:rPr>
      </w:pPr>
    </w:p>
    <w:p w:rsidR="00C7120B" w:rsidRDefault="00C7120B" w:rsidP="00C7120B">
      <w:pPr>
        <w:pStyle w:val="Tekstpodstawowywcity"/>
        <w:tabs>
          <w:tab w:val="left" w:pos="0"/>
        </w:tabs>
        <w:ind w:firstLine="0"/>
        <w:jc w:val="center"/>
        <w:rPr>
          <w:b/>
          <w:sz w:val="24"/>
        </w:rPr>
      </w:pPr>
      <w:r>
        <w:rPr>
          <w:b/>
          <w:sz w:val="24"/>
        </w:rPr>
        <w:t>ZAKOŃCZENIE</w:t>
      </w:r>
    </w:p>
    <w:p w:rsidR="00C7120B" w:rsidRDefault="00C7120B" w:rsidP="00C7120B">
      <w:pPr>
        <w:pStyle w:val="Tekstpodstawowywcity"/>
        <w:tabs>
          <w:tab w:val="left" w:pos="0"/>
        </w:tabs>
        <w:ind w:firstLine="0"/>
        <w:jc w:val="both"/>
        <w:rPr>
          <w:b/>
          <w:sz w:val="24"/>
        </w:rPr>
      </w:pPr>
    </w:p>
    <w:p w:rsidR="00C7120B" w:rsidRDefault="00C7120B" w:rsidP="00C7120B">
      <w:pPr>
        <w:spacing w:line="360" w:lineRule="auto"/>
        <w:ind w:firstLine="708"/>
        <w:jc w:val="both"/>
      </w:pPr>
      <w:r>
        <w:t xml:space="preserve">Kondycja rodzin, to, w jakim stopniu mogą one wypełniać swoje funkcje, przekłada się na los jednostek oraz na życie społeczne. Dzisiejsza rzeczywistość stwarza w miarę swych postępów coraz większe zagrożenia dla rodziny, zakłócając jej funkcjonowanie. Zjawisko to wydaje się ubocznym skutkiem rozwoju cywilizacji, która oprócz wielu dobrodziejstw przynosi światu również negatywne skutki swojego postępu. Prawidłowe relacje między członkami rodziny dają solidne podstawy dla jej funkcjonowania i przeciwdziałają wszelkim destabilizacjom. Jest to oczywiście kwestia odpowiedniego wychowania dzieci przez rodziców. </w:t>
      </w:r>
      <w:r>
        <w:rPr>
          <w:b/>
        </w:rPr>
        <w:t xml:space="preserve">      </w:t>
      </w:r>
      <w:r>
        <w:t xml:space="preserve">          </w:t>
      </w:r>
    </w:p>
    <w:p w:rsidR="00C7120B" w:rsidRDefault="00C7120B" w:rsidP="00C7120B">
      <w:pPr>
        <w:spacing w:line="360" w:lineRule="auto"/>
        <w:ind w:firstLine="708"/>
        <w:jc w:val="both"/>
      </w:pPr>
      <w:r>
        <w:t>Zarówno styl wychowania dzieci, jak też i postawy rodzicielskie mają wpływ nie tylko na osobowość dziecka, ale także na jego powodzenie w edukacji. Istotnym komponentem</w:t>
      </w:r>
      <w:r>
        <w:rPr>
          <w:b/>
        </w:rPr>
        <w:t xml:space="preserve"> </w:t>
      </w:r>
      <w:r>
        <w:t xml:space="preserve">wpływającym na potencjalne sukcesy czy niepowodzenia ucznia </w:t>
      </w:r>
      <w:r>
        <w:br/>
        <w:t xml:space="preserve">w szkole może być status społeczny i materialny rodziców. To zagadnienie zostało podjęte w niniejszej pracy. Główny ciężar zainteresowania badawczego został położony na doświadczanie niepowodzeń szkolnych przez uczniów pochodzących z rodzin </w:t>
      </w:r>
      <w:r>
        <w:br/>
        <w:t xml:space="preserve">o wysokim statusie społecznym i materialnym. Publikacja  ma charakter teoretyczno-badawczy, a jej struktura składa się z trzech części: teoretycznej, metodologicznej oraz empirycznej. </w:t>
      </w:r>
    </w:p>
    <w:p w:rsidR="00C7120B" w:rsidRDefault="00C7120B" w:rsidP="00C7120B">
      <w:pPr>
        <w:spacing w:line="360" w:lineRule="auto"/>
        <w:jc w:val="both"/>
      </w:pPr>
      <w:r>
        <w:t xml:space="preserve">          W rozdziale pierwszym podjęto problem niepowodzeń edukacyjnych dzieci </w:t>
      </w:r>
      <w:r>
        <w:br/>
        <w:t xml:space="preserve">w kontekście środowiska wychowawczego rodziny. Rozdział drugi dotyczy metodologii badań własnych, zaś ostatnia część pracy przedstawia wyniki badań. Dokonano w niej analizy i interpretacji zgromadzonego materiału empirycznego. </w:t>
      </w:r>
    </w:p>
    <w:p w:rsidR="00C7120B" w:rsidRDefault="00C7120B" w:rsidP="00C7120B">
      <w:pPr>
        <w:spacing w:line="360" w:lineRule="auto"/>
        <w:ind w:firstLine="708"/>
        <w:jc w:val="both"/>
      </w:pPr>
      <w:r>
        <w:t>Celem głównym badan zaś było pełne rozpoznanie skali, przyczyn, przejawów tego zjawiska oraz reakcji rodziców na fakt doświadczania przez dzieci niepowodzeń edukacyjnych.</w:t>
      </w:r>
    </w:p>
    <w:p w:rsidR="00C7120B" w:rsidRDefault="00C7120B" w:rsidP="00C7120B">
      <w:pPr>
        <w:spacing w:line="360" w:lineRule="auto"/>
        <w:jc w:val="both"/>
      </w:pPr>
      <w:r>
        <w:rPr>
          <w:bCs/>
        </w:rPr>
        <w:lastRenderedPageBreak/>
        <w:t xml:space="preserve">          Głównym problemem badawczym było pytanie:</w:t>
      </w:r>
      <w:r>
        <w:t xml:space="preserve"> na czym polegają i jakie są uwarunkowania niepowodzeń szkolnych dzieci wywodzących się ze środowisk </w:t>
      </w:r>
      <w:r>
        <w:br/>
        <w:t>o wysokim statusie społecznym i materialnym? Zatem starano się określić najczęstsze przyczyny i przejawy niepowodzeń szkolnych i problemów wychowawczych uczniów wywodzących się z takich rodzin, rozpoznać funkcjonowanie dzieci w grupie rówieśniczej oraz sposób reakcji rodziców na niepowodzenia szkolne dzieci.</w:t>
      </w:r>
    </w:p>
    <w:p w:rsidR="00C7120B" w:rsidRDefault="00C7120B" w:rsidP="00C7120B">
      <w:pPr>
        <w:pStyle w:val="Tekstpodstawowywcity"/>
        <w:tabs>
          <w:tab w:val="left" w:pos="0"/>
        </w:tabs>
        <w:jc w:val="both"/>
        <w:rPr>
          <w:sz w:val="24"/>
        </w:rPr>
      </w:pPr>
      <w:r>
        <w:rPr>
          <w:sz w:val="24"/>
        </w:rPr>
        <w:t>Aby rozwiązać problemy postawione w pracy, w niniejszym przedsięwzięciu badawczym wykorzystano metodę sondażu diagnostycznego, a spośród technik – ankietę oraz wywiad.</w:t>
      </w:r>
      <w:r>
        <w:rPr>
          <w:b/>
          <w:sz w:val="24"/>
        </w:rPr>
        <w:t xml:space="preserve"> </w:t>
      </w:r>
      <w:r>
        <w:rPr>
          <w:sz w:val="24"/>
        </w:rPr>
        <w:t>Zebrany materiał z tych dwóch wskazanych wyżej źródeł pozwolił mi na pełne rozwiązanie przyjętych problemów badawczych i osiągnięcie zamierzonych celów.</w:t>
      </w:r>
    </w:p>
    <w:p w:rsidR="00C7120B" w:rsidRDefault="00C7120B" w:rsidP="00C7120B">
      <w:pPr>
        <w:spacing w:line="360" w:lineRule="auto"/>
        <w:jc w:val="both"/>
        <w:rPr>
          <w:color w:val="0000FF"/>
        </w:rPr>
      </w:pPr>
      <w:r>
        <w:t xml:space="preserve">          Badania  zostały przeprowadzone w  listopadzie 2012 roku. Do badań wytypowano </w:t>
      </w:r>
      <w:r>
        <w:rPr>
          <w:color w:val="000000"/>
        </w:rPr>
        <w:t xml:space="preserve">grupę nauczycieli </w:t>
      </w:r>
      <w:r>
        <w:rPr>
          <w:color w:val="0000FF"/>
        </w:rPr>
        <w:t xml:space="preserve">z kilku szkół podstawowych w……….. </w:t>
      </w:r>
    </w:p>
    <w:p w:rsidR="00C7120B" w:rsidRDefault="00C7120B" w:rsidP="00C7120B">
      <w:pPr>
        <w:pStyle w:val="Tekstpodstawowywcity"/>
        <w:tabs>
          <w:tab w:val="left" w:pos="0"/>
        </w:tabs>
        <w:ind w:firstLine="0"/>
        <w:jc w:val="both"/>
        <w:rPr>
          <w:sz w:val="24"/>
        </w:rPr>
      </w:pPr>
      <w:r>
        <w:rPr>
          <w:b/>
          <w:sz w:val="24"/>
        </w:rPr>
        <w:t xml:space="preserve"> </w:t>
      </w:r>
      <w:r>
        <w:rPr>
          <w:b/>
          <w:sz w:val="24"/>
        </w:rPr>
        <w:tab/>
      </w:r>
      <w:r>
        <w:rPr>
          <w:sz w:val="24"/>
        </w:rPr>
        <w:t>Postawione w badaniach hipotezy potwierdziły się. Problem niepowodzeń szkolnych dotyczy głównie uczniów, pochodzących z rodzin dysfunkcyjnych (patologicznych). Niepowodzeń edukacyjnych doświadczają również dzieci  z rodzin</w:t>
      </w:r>
      <w:r>
        <w:rPr>
          <w:sz w:val="24"/>
        </w:rPr>
        <w:br/>
        <w:t xml:space="preserve"> o wysokim statusie społecznym i materialnym, jednak skala tego zjawiska jest stosunkowo niska i może obejmować około 20% takich uczniów. Najczęstsze przyczyny niepowodzeń szkolnych uczniów z zamożnych rodzin wynikają z: zaległości z wcześniejszych lat edukacji, braku  większego zainteresowania nauką (brak motywacji do niej), braku koncentracji na zajęciach, jak też brak kontroli ze strony rodziców i ich zaniedbań w tym zakresie. Przejawy problemów z nauką dzieci, których rodzice osiągnęli wysoki status społeczny i materialny, sprowadza się głównie do osiągania niskich i bardzo niskich wyników uczenia się, połączonych niekiedy </w:t>
      </w:r>
      <w:r>
        <w:rPr>
          <w:sz w:val="24"/>
        </w:rPr>
        <w:br/>
        <w:t xml:space="preserve">z repetycją (drugorocznością). </w:t>
      </w:r>
    </w:p>
    <w:p w:rsidR="00C7120B" w:rsidRDefault="00C7120B" w:rsidP="00C7120B">
      <w:pPr>
        <w:pStyle w:val="Tekstpodstawowywcity"/>
        <w:tabs>
          <w:tab w:val="left" w:pos="0"/>
        </w:tabs>
        <w:ind w:firstLine="0"/>
        <w:jc w:val="both"/>
        <w:rPr>
          <w:sz w:val="24"/>
        </w:rPr>
      </w:pPr>
      <w:r>
        <w:rPr>
          <w:sz w:val="24"/>
        </w:rPr>
        <w:tab/>
        <w:t xml:space="preserve">Uczniowie z zamożnych rodzin sprawiają problemy wychowawcze, przejawiające się m. in. w: niechęci do nauki, lekceważeniu obowiązków szkolnych, nadmiernym opuszczaniu zajęć, nieodpowiednim zachowaniu czy w złym wpływie na zespół klasowy. Skala tego zjawiska jest jednak stosunkowo niewielka i dotyczy przeciętnie co piątego dziecka z ogółu populacji takich uczniów. Dzieci z rodzin </w:t>
      </w:r>
      <w:r>
        <w:rPr>
          <w:sz w:val="24"/>
        </w:rPr>
        <w:br/>
        <w:t>o wysokim statusie społecznym i materialnym funkcjonują są akceptowane w grupie rówieśniczej, a ich wpływ na koleżeństwo ma neutralny charakter. Rodzice na ogół czynią siebie odpowiedzialnymi za problemy szkolne swoich dzieci i starają się rozwiązać problem, współpracując ze szkołą.</w:t>
      </w:r>
    </w:p>
    <w:p w:rsidR="00C7120B" w:rsidRDefault="00C7120B" w:rsidP="00C7120B">
      <w:pPr>
        <w:spacing w:line="360" w:lineRule="auto"/>
        <w:ind w:firstLine="708"/>
        <w:jc w:val="both"/>
      </w:pPr>
      <w:r>
        <w:t xml:space="preserve">Według autorki udało się rozwiązać postawione problemy, a tym samym zrealizować cel badawczy Zagadnienie podjęte w pracy zostało dostatecznie zgłębione, pomimo obiektywnych </w:t>
      </w:r>
      <w:r>
        <w:lastRenderedPageBreak/>
        <w:t xml:space="preserve">ograniczeń, takich jak: niedoskonałość narzędzi badawczych czy stosunkowo mała skala badań, wynikająca z przyjętej konwencji pracy magisterskiej. </w:t>
      </w:r>
    </w:p>
    <w:p w:rsidR="00C7120B" w:rsidRDefault="00C7120B" w:rsidP="00C7120B">
      <w:pPr>
        <w:spacing w:line="360" w:lineRule="auto"/>
        <w:ind w:firstLine="708"/>
        <w:jc w:val="both"/>
      </w:pPr>
      <w:r>
        <w:t xml:space="preserve">Niniejsza praca może stanowić skromny przyczynek do podjęcia szerzej zakrojonych badań nad zagadnieniem niepowodzeń szkolnych dzieci wywodzących się </w:t>
      </w:r>
      <w:r>
        <w:br/>
        <w:t>z rodzin o wysokim statusie społecznym i materialnym.</w:t>
      </w:r>
    </w:p>
    <w:p w:rsidR="001152A5" w:rsidRPr="00440748" w:rsidRDefault="00C7120B" w:rsidP="00C7120B">
      <w:r>
        <w:t>Ponadto wyniki badań mogą posłużyć do wyznaczenie kierunku działań dydaktycznych i wychowawczych, których celem byłoby zminimalizowanie problemów szkolnych, które są udziałem uczniów z takich rodzin.</w:t>
      </w:r>
    </w:p>
    <w:sectPr w:rsidR="001152A5" w:rsidRPr="00440748" w:rsidSect="00C8560A">
      <w:pgSz w:w="11906" w:h="16838"/>
      <w:pgMar w:top="1418"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63C" w:rsidRDefault="0027463C" w:rsidP="00C7120B">
      <w:r>
        <w:separator/>
      </w:r>
    </w:p>
  </w:endnote>
  <w:endnote w:type="continuationSeparator" w:id="0">
    <w:p w:rsidR="0027463C" w:rsidRDefault="0027463C" w:rsidP="00C71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63C" w:rsidRDefault="0027463C" w:rsidP="00C7120B">
      <w:r>
        <w:separator/>
      </w:r>
    </w:p>
  </w:footnote>
  <w:footnote w:type="continuationSeparator" w:id="0">
    <w:p w:rsidR="0027463C" w:rsidRDefault="0027463C" w:rsidP="00C7120B">
      <w:r>
        <w:continuationSeparator/>
      </w:r>
    </w:p>
  </w:footnote>
  <w:footnote w:id="1">
    <w:p w:rsidR="00786390" w:rsidRDefault="00786390" w:rsidP="00786390">
      <w:pPr>
        <w:pStyle w:val="Tekstprzypisudolnego"/>
        <w:jc w:val="both"/>
      </w:pPr>
      <w:r>
        <w:rPr>
          <w:rStyle w:val="Odwoanieprzypisudolnego"/>
        </w:rPr>
        <w:footnoteRef/>
      </w:r>
      <w:r>
        <w:t xml:space="preserve"> Na powyższym wykresie ukazano procentową strukturę dzieci mających problemy w nauce podzieloną na różne kategorie w stosunku do ogółu uczniów doświadczających tego rodzaju niepowodzeń.  </w:t>
      </w:r>
    </w:p>
  </w:footnote>
  <w:footnote w:id="2">
    <w:p w:rsidR="00287F5C" w:rsidRDefault="00287F5C" w:rsidP="00287F5C">
      <w:pPr>
        <w:pStyle w:val="Tekstprzypisudolnego"/>
      </w:pPr>
      <w:r>
        <w:rPr>
          <w:rStyle w:val="Odwoanieprzypisudolnego"/>
        </w:rPr>
        <w:footnoteRef/>
      </w:r>
      <w:r>
        <w:t xml:space="preserve"> W tym przypadku respondenci mogli podać więcej niż jeden wariant odpowiedzi, zatem wszystkie odpowiedzi zsumowano i ustalono procentową strukturę danych wskazań.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20BEA"/>
    <w:multiLevelType w:val="hybridMultilevel"/>
    <w:tmpl w:val="6B48157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920"/>
    <w:rsid w:val="0002780F"/>
    <w:rsid w:val="000D7489"/>
    <w:rsid w:val="00103039"/>
    <w:rsid w:val="001152A5"/>
    <w:rsid w:val="0012549E"/>
    <w:rsid w:val="001A1E87"/>
    <w:rsid w:val="002470D2"/>
    <w:rsid w:val="00270179"/>
    <w:rsid w:val="0027463C"/>
    <w:rsid w:val="00287F5C"/>
    <w:rsid w:val="002B0C8F"/>
    <w:rsid w:val="002B47D7"/>
    <w:rsid w:val="00367281"/>
    <w:rsid w:val="0038342F"/>
    <w:rsid w:val="00403006"/>
    <w:rsid w:val="00411258"/>
    <w:rsid w:val="00440748"/>
    <w:rsid w:val="00477CC4"/>
    <w:rsid w:val="004D78ED"/>
    <w:rsid w:val="00542FAB"/>
    <w:rsid w:val="005949FB"/>
    <w:rsid w:val="005B01DA"/>
    <w:rsid w:val="005E71DC"/>
    <w:rsid w:val="00610F0D"/>
    <w:rsid w:val="00721FD1"/>
    <w:rsid w:val="00786390"/>
    <w:rsid w:val="00813EED"/>
    <w:rsid w:val="00892A17"/>
    <w:rsid w:val="008B1945"/>
    <w:rsid w:val="008C4236"/>
    <w:rsid w:val="0094008B"/>
    <w:rsid w:val="009470C1"/>
    <w:rsid w:val="00A1054F"/>
    <w:rsid w:val="00A11993"/>
    <w:rsid w:val="00A208EF"/>
    <w:rsid w:val="00A60920"/>
    <w:rsid w:val="00AB7C4C"/>
    <w:rsid w:val="00B43D62"/>
    <w:rsid w:val="00BC67B6"/>
    <w:rsid w:val="00C30EDE"/>
    <w:rsid w:val="00C42F7A"/>
    <w:rsid w:val="00C45635"/>
    <w:rsid w:val="00C5733A"/>
    <w:rsid w:val="00C7120B"/>
    <w:rsid w:val="00C829E4"/>
    <w:rsid w:val="00C8560A"/>
    <w:rsid w:val="00CA0069"/>
    <w:rsid w:val="00CB1039"/>
    <w:rsid w:val="00CF3F45"/>
    <w:rsid w:val="00D1452D"/>
    <w:rsid w:val="00D30F37"/>
    <w:rsid w:val="00D4382B"/>
    <w:rsid w:val="00D93A6A"/>
    <w:rsid w:val="00E263BB"/>
    <w:rsid w:val="00E26639"/>
    <w:rsid w:val="00E6096D"/>
    <w:rsid w:val="00E61DA6"/>
    <w:rsid w:val="00E80164"/>
    <w:rsid w:val="00E86CD1"/>
    <w:rsid w:val="00EB6AE1"/>
    <w:rsid w:val="00EC6582"/>
    <w:rsid w:val="00FC61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12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C7120B"/>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C7120B"/>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C7120B"/>
    <w:rPr>
      <w:vertAlign w:val="superscript"/>
    </w:rPr>
  </w:style>
  <w:style w:type="paragraph" w:styleId="Tekstpodstawowywcity">
    <w:name w:val="Body Text Indent"/>
    <w:basedOn w:val="Normalny"/>
    <w:link w:val="TekstpodstawowywcityZnak"/>
    <w:rsid w:val="00C7120B"/>
    <w:pPr>
      <w:spacing w:line="360" w:lineRule="auto"/>
      <w:ind w:firstLine="540"/>
    </w:pPr>
    <w:rPr>
      <w:sz w:val="26"/>
    </w:rPr>
  </w:style>
  <w:style w:type="character" w:customStyle="1" w:styleId="TekstpodstawowywcityZnak">
    <w:name w:val="Tekst podstawowy wcięty Znak"/>
    <w:basedOn w:val="Domylnaczcionkaakapitu"/>
    <w:link w:val="Tekstpodstawowywcity"/>
    <w:rsid w:val="00C7120B"/>
    <w:rPr>
      <w:rFonts w:ascii="Times New Roman" w:eastAsia="Times New Roman" w:hAnsi="Times New Roman" w:cs="Times New Roman"/>
      <w:sz w:val="26"/>
      <w:szCs w:val="24"/>
      <w:lang w:eastAsia="pl-PL"/>
    </w:rPr>
  </w:style>
  <w:style w:type="paragraph" w:styleId="Nagwek">
    <w:name w:val="header"/>
    <w:basedOn w:val="Normalny"/>
    <w:link w:val="NagwekZnak"/>
    <w:uiPriority w:val="99"/>
    <w:unhideWhenUsed/>
    <w:rsid w:val="001A1E87"/>
    <w:pPr>
      <w:tabs>
        <w:tab w:val="center" w:pos="4536"/>
        <w:tab w:val="right" w:pos="9072"/>
      </w:tabs>
    </w:pPr>
  </w:style>
  <w:style w:type="character" w:customStyle="1" w:styleId="NagwekZnak">
    <w:name w:val="Nagłówek Znak"/>
    <w:basedOn w:val="Domylnaczcionkaakapitu"/>
    <w:link w:val="Nagwek"/>
    <w:uiPriority w:val="99"/>
    <w:rsid w:val="001A1E8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A1E87"/>
    <w:pPr>
      <w:tabs>
        <w:tab w:val="center" w:pos="4536"/>
        <w:tab w:val="right" w:pos="9072"/>
      </w:tabs>
    </w:pPr>
  </w:style>
  <w:style w:type="character" w:customStyle="1" w:styleId="StopkaZnak">
    <w:name w:val="Stopka Znak"/>
    <w:basedOn w:val="Domylnaczcionkaakapitu"/>
    <w:link w:val="Stopka"/>
    <w:uiPriority w:val="99"/>
    <w:rsid w:val="001A1E87"/>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12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Tekst przypisu dolnego-poligrafia,Tekst przypisu"/>
    <w:basedOn w:val="Normalny"/>
    <w:link w:val="TekstprzypisudolnegoZnak"/>
    <w:semiHidden/>
    <w:rsid w:val="00C7120B"/>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C7120B"/>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C7120B"/>
    <w:rPr>
      <w:vertAlign w:val="superscript"/>
    </w:rPr>
  </w:style>
  <w:style w:type="paragraph" w:styleId="Tekstpodstawowywcity">
    <w:name w:val="Body Text Indent"/>
    <w:basedOn w:val="Normalny"/>
    <w:link w:val="TekstpodstawowywcityZnak"/>
    <w:rsid w:val="00C7120B"/>
    <w:pPr>
      <w:spacing w:line="360" w:lineRule="auto"/>
      <w:ind w:firstLine="540"/>
    </w:pPr>
    <w:rPr>
      <w:sz w:val="26"/>
    </w:rPr>
  </w:style>
  <w:style w:type="character" w:customStyle="1" w:styleId="TekstpodstawowywcityZnak">
    <w:name w:val="Tekst podstawowy wcięty Znak"/>
    <w:basedOn w:val="Domylnaczcionkaakapitu"/>
    <w:link w:val="Tekstpodstawowywcity"/>
    <w:rsid w:val="00C7120B"/>
    <w:rPr>
      <w:rFonts w:ascii="Times New Roman" w:eastAsia="Times New Roman" w:hAnsi="Times New Roman" w:cs="Times New Roman"/>
      <w:sz w:val="26"/>
      <w:szCs w:val="24"/>
      <w:lang w:eastAsia="pl-PL"/>
    </w:rPr>
  </w:style>
  <w:style w:type="paragraph" w:styleId="Nagwek">
    <w:name w:val="header"/>
    <w:basedOn w:val="Normalny"/>
    <w:link w:val="NagwekZnak"/>
    <w:uiPriority w:val="99"/>
    <w:unhideWhenUsed/>
    <w:rsid w:val="001A1E87"/>
    <w:pPr>
      <w:tabs>
        <w:tab w:val="center" w:pos="4536"/>
        <w:tab w:val="right" w:pos="9072"/>
      </w:tabs>
    </w:pPr>
  </w:style>
  <w:style w:type="character" w:customStyle="1" w:styleId="NagwekZnak">
    <w:name w:val="Nagłówek Znak"/>
    <w:basedOn w:val="Domylnaczcionkaakapitu"/>
    <w:link w:val="Nagwek"/>
    <w:uiPriority w:val="99"/>
    <w:rsid w:val="001A1E8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A1E87"/>
    <w:pPr>
      <w:tabs>
        <w:tab w:val="center" w:pos="4536"/>
        <w:tab w:val="right" w:pos="9072"/>
      </w:tabs>
    </w:pPr>
  </w:style>
  <w:style w:type="character" w:customStyle="1" w:styleId="StopkaZnak">
    <w:name w:val="Stopka Znak"/>
    <w:basedOn w:val="Domylnaczcionkaakapitu"/>
    <w:link w:val="Stopka"/>
    <w:uiPriority w:val="99"/>
    <w:rsid w:val="001A1E8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8.xml"/><Relationship Id="rId3" Type="http://schemas.microsoft.com/office/2007/relationships/stylesWithEffects" Target="stylesWithEffect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image" Target="media/image1.e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0.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19.xml"/><Relationship Id="rId30" Type="http://schemas.openxmlformats.org/officeDocument/2006/relationships/chart" Target="charts/chart22.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Arkusz_programu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Arkusz_programu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Arkusz_programu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Arkusz_programu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Arkusz_programu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Arkusz_programu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Arkusz_programu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Arkusz_programu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Arkusz_programu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Arkusz_programu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Arkusz_programu_Microsoft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Arkusz_programu_Microsoft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Arkusz_programu_Microsoft_Excel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Arkusz_programu_Microsoft_Excel23.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Arkusz_programu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Arkusz_programu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2310405643738973E-2"/>
          <c:y val="2.7190332326283987E-2"/>
          <c:w val="0.89417989417989419"/>
          <c:h val="0.76737160120845926"/>
        </c:manualLayout>
      </c:layout>
      <c:bar3DChart>
        <c:barDir val="col"/>
        <c:grouping val="clustered"/>
        <c:varyColors val="0"/>
        <c:ser>
          <c:idx val="0"/>
          <c:order val="0"/>
          <c:tx>
            <c:strRef>
              <c:f>Arkusz1!$A$1</c:f>
              <c:strCache>
                <c:ptCount val="1"/>
                <c:pt idx="0">
                  <c:v>Jedno dziecko - 14,0%</c:v>
                </c:pt>
              </c:strCache>
            </c:strRef>
          </c:tx>
          <c:spPr>
            <a:solidFill>
              <a:srgbClr val="9999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0.14000000000000001</c:v>
                </c:pt>
              </c:numCache>
            </c:numRef>
          </c:val>
        </c:ser>
        <c:ser>
          <c:idx val="1"/>
          <c:order val="1"/>
          <c:tx>
            <c:strRef>
              <c:f>Arkusz1!$A$2</c:f>
              <c:strCache>
                <c:ptCount val="1"/>
                <c:pt idx="0">
                  <c:v>Dwoje dzieci - 56,0%</c:v>
                </c:pt>
              </c:strCache>
            </c:strRef>
          </c:tx>
          <c:spPr>
            <a:solidFill>
              <a:srgbClr val="993366"/>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0.56000000000000005</c:v>
                </c:pt>
              </c:numCache>
            </c:numRef>
          </c:val>
        </c:ser>
        <c:ser>
          <c:idx val="2"/>
          <c:order val="2"/>
          <c:tx>
            <c:strRef>
              <c:f>Arkusz1!$A$3</c:f>
              <c:strCache>
                <c:ptCount val="1"/>
                <c:pt idx="0">
                  <c:v>Troje dzieci - 24,0%</c:v>
                </c:pt>
              </c:strCache>
            </c:strRef>
          </c:tx>
          <c:spPr>
            <a:solidFill>
              <a:srgbClr val="CCFFCC"/>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0.24</c:v>
                </c:pt>
              </c:numCache>
            </c:numRef>
          </c:val>
        </c:ser>
        <c:ser>
          <c:idx val="3"/>
          <c:order val="3"/>
          <c:tx>
            <c:strRef>
              <c:f>Arkusz1!$A$4</c:f>
              <c:strCache>
                <c:ptCount val="1"/>
                <c:pt idx="0">
                  <c:v>Czworo dzieci - 6,0%</c:v>
                </c:pt>
              </c:strCache>
            </c:strRef>
          </c:tx>
          <c:spPr>
            <a:solidFill>
              <a:srgbClr val="CCFFFF"/>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0.06</c:v>
                </c:pt>
              </c:numCache>
            </c:numRef>
          </c:val>
        </c:ser>
        <c:ser>
          <c:idx val="4"/>
          <c:order val="4"/>
          <c:tx>
            <c:strRef>
              <c:f>Arkusz1!$A$5</c:f>
              <c:strCache>
                <c:ptCount val="1"/>
                <c:pt idx="0">
                  <c:v>Trudno powiedzieć - 4,0%</c:v>
                </c:pt>
              </c:strCache>
            </c:strRef>
          </c:tx>
          <c:spPr>
            <a:solidFill>
              <a:srgbClr val="FF8080"/>
            </a:solidFill>
            <a:ln w="12400">
              <a:solidFill>
                <a:srgbClr val="000000"/>
              </a:solidFill>
              <a:prstDash val="solid"/>
            </a:ln>
          </c:spPr>
          <c:invertIfNegative val="0"/>
          <c:dLbls>
            <c:spPr>
              <a:solidFill>
                <a:srgbClr val="FFFFFF"/>
              </a:solidFill>
              <a:ln w="24800">
                <a:noFill/>
              </a:ln>
            </c:spPr>
            <c:txPr>
              <a:bodyPr/>
              <a:lstStyle/>
              <a:p>
                <a:pPr>
                  <a:defRPr sz="8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0.04</c:v>
                </c:pt>
              </c:numCache>
            </c:numRef>
          </c:val>
        </c:ser>
        <c:dLbls>
          <c:showLegendKey val="0"/>
          <c:showVal val="1"/>
          <c:showCatName val="0"/>
          <c:showSerName val="0"/>
          <c:showPercent val="0"/>
          <c:showBubbleSize val="0"/>
        </c:dLbls>
        <c:gapWidth val="150"/>
        <c:shape val="box"/>
        <c:axId val="264895488"/>
        <c:axId val="265488640"/>
        <c:axId val="0"/>
      </c:bar3DChart>
      <c:catAx>
        <c:axId val="264895488"/>
        <c:scaling>
          <c:orientation val="minMax"/>
        </c:scaling>
        <c:delete val="1"/>
        <c:axPos val="b"/>
        <c:majorTickMark val="out"/>
        <c:minorTickMark val="none"/>
        <c:tickLblPos val="nextTo"/>
        <c:crossAx val="265488640"/>
        <c:crosses val="autoZero"/>
        <c:auto val="1"/>
        <c:lblAlgn val="ctr"/>
        <c:lblOffset val="100"/>
        <c:noMultiLvlLbl val="0"/>
      </c:catAx>
      <c:valAx>
        <c:axId val="265488640"/>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854" b="0" i="0" u="none" strike="noStrike" baseline="0">
                <a:solidFill>
                  <a:srgbClr val="000000"/>
                </a:solidFill>
                <a:latin typeface="Arial"/>
                <a:ea typeface="Arial"/>
                <a:cs typeface="Arial"/>
              </a:defRPr>
            </a:pPr>
            <a:endParaRPr lang="pl-PL"/>
          </a:p>
        </c:txPr>
        <c:crossAx val="264895488"/>
        <c:crosses val="autoZero"/>
        <c:crossBetween val="between"/>
      </c:valAx>
      <c:spPr>
        <a:solidFill>
          <a:srgbClr val="FFCC00"/>
        </a:solidFill>
        <a:ln w="24800">
          <a:noFill/>
        </a:ln>
      </c:spPr>
    </c:plotArea>
    <c:legend>
      <c:legendPos val="b"/>
      <c:layout>
        <c:manualLayout>
          <c:xMode val="edge"/>
          <c:yMode val="edge"/>
          <c:x val="7.9365079365079361E-2"/>
          <c:y val="0.86102719033232633"/>
          <c:w val="0.83950617283950613"/>
          <c:h val="0.12990936555891239"/>
        </c:manualLayout>
      </c:layout>
      <c:overlay val="0"/>
      <c:spPr>
        <a:solidFill>
          <a:srgbClr val="FFFFFF"/>
        </a:solidFill>
        <a:ln w="3100">
          <a:solidFill>
            <a:srgbClr val="000000"/>
          </a:solidFill>
          <a:prstDash val="solid"/>
        </a:ln>
      </c:spPr>
      <c:txPr>
        <a:bodyPr/>
        <a:lstStyle/>
        <a:p>
          <a:pPr>
            <a:defRPr sz="78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854" b="0" i="0" u="none" strike="noStrike" baseline="0">
          <a:solidFill>
            <a:srgbClr val="000000"/>
          </a:solidFill>
          <a:latin typeface="Arial"/>
          <a:ea typeface="Arial"/>
          <a:cs typeface="Arial"/>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871252204585538"/>
          <c:h val="0.84657534246575339"/>
        </c:manualLayout>
      </c:layout>
      <c:bar3DChart>
        <c:barDir val="col"/>
        <c:grouping val="clustered"/>
        <c:varyColors val="0"/>
        <c:ser>
          <c:idx val="0"/>
          <c:order val="0"/>
          <c:tx>
            <c:strRef>
              <c:f>Arkusz1!$A$1</c:f>
              <c:strCache>
                <c:ptCount val="1"/>
                <c:pt idx="0">
                  <c:v>Mniej niż 10% - 8,0%</c:v>
                </c:pt>
              </c:strCache>
            </c:strRef>
          </c:tx>
          <c:spPr>
            <a:solidFill>
              <a:srgbClr val="99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0.08</c:v>
                </c:pt>
              </c:numCache>
            </c:numRef>
          </c:val>
        </c:ser>
        <c:ser>
          <c:idx val="1"/>
          <c:order val="1"/>
          <c:tx>
            <c:strRef>
              <c:f>Arkusz1!$A$2</c:f>
              <c:strCache>
                <c:ptCount val="1"/>
                <c:pt idx="0">
                  <c:v>Do 20% - 42,0%</c:v>
                </c:pt>
              </c:strCache>
            </c:strRef>
          </c:tx>
          <c:spPr>
            <a:solidFill>
              <a:srgbClr val="9933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0.42</c:v>
                </c:pt>
              </c:numCache>
            </c:numRef>
          </c:val>
        </c:ser>
        <c:ser>
          <c:idx val="2"/>
          <c:order val="2"/>
          <c:tx>
            <c:strRef>
              <c:f>Arkusz1!$A$3</c:f>
              <c:strCache>
                <c:ptCount val="1"/>
                <c:pt idx="0">
                  <c:v>20-30% - 34,0%</c:v>
                </c:pt>
              </c:strCache>
            </c:strRef>
          </c:tx>
          <c:spPr>
            <a:solidFill>
              <a:srgbClr val="CCFFCC"/>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0.34</c:v>
                </c:pt>
              </c:numCache>
            </c:numRef>
          </c:val>
        </c:ser>
        <c:ser>
          <c:idx val="3"/>
          <c:order val="3"/>
          <c:tx>
            <c:strRef>
              <c:f>Arkusz1!$A$4</c:f>
              <c:strCache>
                <c:ptCount val="1"/>
                <c:pt idx="0">
                  <c:v>40-50% - 12,0%</c:v>
                </c:pt>
              </c:strCache>
            </c:strRef>
          </c:tx>
          <c:spPr>
            <a:solidFill>
              <a:srgbClr val="CC99FF"/>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0.12</c:v>
                </c:pt>
              </c:numCache>
            </c:numRef>
          </c:val>
        </c:ser>
        <c:ser>
          <c:idx val="4"/>
          <c:order val="4"/>
          <c:tx>
            <c:strRef>
              <c:f>Arkusz1!$A$5</c:f>
              <c:strCache>
                <c:ptCount val="1"/>
                <c:pt idx="0">
                  <c:v>Trudno powiedzieć - 4,0%</c:v>
                </c:pt>
              </c:strCache>
            </c:strRef>
          </c:tx>
          <c:spPr>
            <a:solidFill>
              <a:srgbClr val="660066"/>
            </a:solidFill>
            <a:ln w="12379">
              <a:solidFill>
                <a:srgbClr val="000000"/>
              </a:solidFill>
              <a:prstDash val="solid"/>
            </a:ln>
          </c:spPr>
          <c:invertIfNegative val="0"/>
          <c:dLbls>
            <c:spPr>
              <a:solidFill>
                <a:srgbClr val="FFFFFF"/>
              </a:solidFill>
              <a:ln w="24757">
                <a:noFill/>
              </a:ln>
            </c:spPr>
            <c:txPr>
              <a:bodyPr/>
              <a:lstStyle/>
              <a:p>
                <a:pPr>
                  <a:defRPr sz="90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0.04</c:v>
                </c:pt>
              </c:numCache>
            </c:numRef>
          </c:val>
        </c:ser>
        <c:dLbls>
          <c:showLegendKey val="0"/>
          <c:showVal val="1"/>
          <c:showCatName val="0"/>
          <c:showSerName val="0"/>
          <c:showPercent val="0"/>
          <c:showBubbleSize val="0"/>
        </c:dLbls>
        <c:gapWidth val="150"/>
        <c:shape val="box"/>
        <c:axId val="267088384"/>
        <c:axId val="257476288"/>
        <c:axId val="0"/>
      </c:bar3DChart>
      <c:catAx>
        <c:axId val="267088384"/>
        <c:scaling>
          <c:orientation val="minMax"/>
        </c:scaling>
        <c:delete val="1"/>
        <c:axPos val="b"/>
        <c:majorTickMark val="out"/>
        <c:minorTickMark val="none"/>
        <c:tickLblPos val="nextTo"/>
        <c:crossAx val="257476288"/>
        <c:crosses val="autoZero"/>
        <c:auto val="1"/>
        <c:lblAlgn val="ctr"/>
        <c:lblOffset val="100"/>
        <c:noMultiLvlLbl val="0"/>
      </c:catAx>
      <c:valAx>
        <c:axId val="257476288"/>
        <c:scaling>
          <c:orientation val="minMax"/>
        </c:scaling>
        <c:delete val="0"/>
        <c:axPos val="l"/>
        <c:majorGridlines>
          <c:spPr>
            <a:ln w="3095">
              <a:solidFill>
                <a:srgbClr val="000000"/>
              </a:solidFill>
              <a:prstDash val="solid"/>
            </a:ln>
          </c:spPr>
        </c:majorGridlines>
        <c:numFmt formatCode="0%" sourceLinked="1"/>
        <c:majorTickMark val="out"/>
        <c:minorTickMark val="none"/>
        <c:tickLblPos val="nextTo"/>
        <c:spPr>
          <a:ln w="3095">
            <a:solidFill>
              <a:srgbClr val="000000"/>
            </a:solidFill>
            <a:prstDash val="solid"/>
          </a:ln>
        </c:spPr>
        <c:txPr>
          <a:bodyPr rot="0" vert="horz"/>
          <a:lstStyle/>
          <a:p>
            <a:pPr>
              <a:defRPr sz="902" b="0" i="0" u="none" strike="noStrike" baseline="0">
                <a:solidFill>
                  <a:srgbClr val="000000"/>
                </a:solidFill>
                <a:latin typeface="Arial"/>
                <a:ea typeface="Arial"/>
                <a:cs typeface="Arial"/>
              </a:defRPr>
            </a:pPr>
            <a:endParaRPr lang="pl-PL"/>
          </a:p>
        </c:txPr>
        <c:crossAx val="267088384"/>
        <c:crosses val="autoZero"/>
        <c:crossBetween val="between"/>
      </c:valAx>
      <c:spPr>
        <a:solidFill>
          <a:srgbClr val="FFCC00"/>
        </a:solidFill>
        <a:ln w="24757">
          <a:noFill/>
        </a:ln>
      </c:spPr>
    </c:plotArea>
    <c:legend>
      <c:legendPos val="b"/>
      <c:layout>
        <c:manualLayout>
          <c:xMode val="edge"/>
          <c:yMode val="edge"/>
          <c:x val="1.7636684303350969E-2"/>
          <c:y val="0.93150684931506844"/>
          <c:w val="0.96296296296296291"/>
          <c:h val="6.0273972602739728E-2"/>
        </c:manualLayout>
      </c:layout>
      <c:overlay val="0"/>
      <c:spPr>
        <a:solidFill>
          <a:srgbClr val="FFFFFF"/>
        </a:solidFill>
        <a:ln w="3095">
          <a:solidFill>
            <a:srgbClr val="000000"/>
          </a:solidFill>
          <a:prstDash val="solid"/>
        </a:ln>
      </c:spPr>
      <c:txPr>
        <a:bodyPr/>
        <a:lstStyle/>
        <a:p>
          <a:pPr>
            <a:defRPr sz="76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5">
      <a:solidFill>
        <a:srgbClr val="000000"/>
      </a:solidFill>
      <a:prstDash val="solid"/>
    </a:ln>
  </c:spPr>
  <c:txPr>
    <a:bodyPr/>
    <a:lstStyle/>
    <a:p>
      <a:pPr>
        <a:defRPr sz="902" b="0" i="0" u="none" strike="noStrike" baseline="0">
          <a:solidFill>
            <a:srgbClr val="000000"/>
          </a:solidFill>
          <a:latin typeface="Arial"/>
          <a:ea typeface="Arial"/>
          <a:cs typeface="Arial"/>
        </a:defRPr>
      </a:pPr>
      <a:endParaRPr lang="pl-P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- 6,0%</c:v>
                </c:pt>
              </c:strCache>
            </c:strRef>
          </c:tx>
          <c:spPr>
            <a:solidFill>
              <a:srgbClr val="99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0.06</c:v>
                </c:pt>
              </c:numCache>
            </c:numRef>
          </c:val>
        </c:ser>
        <c:ser>
          <c:idx val="1"/>
          <c:order val="1"/>
          <c:tx>
            <c:strRef>
              <c:f>Arkusz1!$A$2</c:f>
              <c:strCache>
                <c:ptCount val="1"/>
                <c:pt idx="0">
                  <c:v>Często - 18,0%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0.18</c:v>
                </c:pt>
              </c:numCache>
            </c:numRef>
          </c:val>
        </c:ser>
        <c:ser>
          <c:idx val="2"/>
          <c:order val="2"/>
          <c:tx>
            <c:strRef>
              <c:f>Arkusz1!$A$3</c:f>
              <c:strCache>
                <c:ptCount val="1"/>
                <c:pt idx="0">
                  <c:v>Rzadko - 38,0%</c:v>
                </c:pt>
              </c:strCache>
            </c:strRef>
          </c:tx>
          <c:spPr>
            <a:solidFill>
              <a:srgbClr val="FF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0.36</c:v>
                </c:pt>
              </c:numCache>
            </c:numRef>
          </c:val>
        </c:ser>
        <c:ser>
          <c:idx val="3"/>
          <c:order val="3"/>
          <c:tx>
            <c:strRef>
              <c:f>Arkusz1!$A$4</c:f>
              <c:strCache>
                <c:ptCount val="1"/>
                <c:pt idx="0">
                  <c:v>Bardzo rzadko - 12,0%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0.12</c:v>
                </c:pt>
              </c:numCache>
            </c:numRef>
          </c:val>
        </c:ser>
        <c:ser>
          <c:idx val="4"/>
          <c:order val="4"/>
          <c:tx>
            <c:strRef>
              <c:f>Arkusz1!$A$5</c:f>
              <c:strCache>
                <c:ptCount val="1"/>
                <c:pt idx="0">
                  <c:v>W ogóle nie opuszczają zajęć - 24,0%</c:v>
                </c:pt>
              </c:strCache>
            </c:strRef>
          </c:tx>
          <c:spPr>
            <a:solidFill>
              <a:srgbClr val="CC99FF"/>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0.24</c:v>
                </c:pt>
              </c:numCache>
            </c:numRef>
          </c:val>
        </c:ser>
        <c:ser>
          <c:idx val="5"/>
          <c:order val="5"/>
          <c:tx>
            <c:strRef>
              <c:f>Arkusz1!$A$6</c:f>
              <c:strCache>
                <c:ptCount val="1"/>
                <c:pt idx="0">
                  <c:v>Trudno powiedzieć - 4,0%</c:v>
                </c:pt>
              </c:strCache>
            </c:strRef>
          </c:tx>
          <c:spPr>
            <a:solidFill>
              <a:srgbClr val="FF8080"/>
            </a:solidFill>
            <a:ln w="12431">
              <a:solidFill>
                <a:srgbClr val="000000"/>
              </a:solidFill>
              <a:prstDash val="solid"/>
            </a:ln>
          </c:spPr>
          <c:invertIfNegative val="0"/>
          <c:dLbls>
            <c:spPr>
              <a:solidFill>
                <a:srgbClr val="FFFFFF"/>
              </a:solidFill>
              <a:ln w="24862">
                <a:noFill/>
              </a:ln>
            </c:spPr>
            <c:txPr>
              <a:bodyPr/>
              <a:lstStyle/>
              <a:p>
                <a:pPr>
                  <a:defRPr sz="954"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0.04</c:v>
                </c:pt>
              </c:numCache>
            </c:numRef>
          </c:val>
        </c:ser>
        <c:dLbls>
          <c:showLegendKey val="0"/>
          <c:showVal val="1"/>
          <c:showCatName val="0"/>
          <c:showSerName val="0"/>
          <c:showPercent val="0"/>
          <c:showBubbleSize val="0"/>
        </c:dLbls>
        <c:gapWidth val="150"/>
        <c:shape val="box"/>
        <c:axId val="267088896"/>
        <c:axId val="257478016"/>
        <c:axId val="0"/>
      </c:bar3DChart>
      <c:catAx>
        <c:axId val="267088896"/>
        <c:scaling>
          <c:orientation val="minMax"/>
        </c:scaling>
        <c:delete val="1"/>
        <c:axPos val="b"/>
        <c:majorTickMark val="out"/>
        <c:minorTickMark val="none"/>
        <c:tickLblPos val="nextTo"/>
        <c:crossAx val="257478016"/>
        <c:crosses val="autoZero"/>
        <c:auto val="1"/>
        <c:lblAlgn val="ctr"/>
        <c:lblOffset val="100"/>
        <c:noMultiLvlLbl val="0"/>
      </c:catAx>
      <c:valAx>
        <c:axId val="257478016"/>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pl-PL"/>
          </a:p>
        </c:txPr>
        <c:crossAx val="267088896"/>
        <c:crosses val="autoZero"/>
        <c:crossBetween val="between"/>
      </c:valAx>
      <c:spPr>
        <a:solidFill>
          <a:srgbClr val="FFCC00"/>
        </a:solidFill>
        <a:ln w="24862">
          <a:noFill/>
        </a:ln>
      </c:spPr>
    </c:plotArea>
    <c:legend>
      <c:legendPos val="b"/>
      <c:layout>
        <c:manualLayout>
          <c:xMode val="edge"/>
          <c:yMode val="edge"/>
          <c:x val="7.407407407407407E-2"/>
          <c:y val="0.81937172774869105"/>
          <c:w val="0.85008818342151671"/>
          <c:h val="0.17277486910994763"/>
        </c:manualLayout>
      </c:layout>
      <c:overlay val="0"/>
      <c:spPr>
        <a:solidFill>
          <a:srgbClr val="FFFFFF"/>
        </a:solidFill>
        <a:ln w="3108">
          <a:solidFill>
            <a:srgbClr val="000000"/>
          </a:solidFill>
          <a:prstDash val="solid"/>
        </a:ln>
      </c:spPr>
      <c:txPr>
        <a:bodyPr/>
        <a:lstStyle/>
        <a:p>
          <a:pPr>
            <a:defRPr sz="876"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54" b="0" i="0" u="none" strike="noStrike" baseline="0">
          <a:solidFill>
            <a:srgbClr val="000000"/>
          </a:solidFill>
          <a:latin typeface="Arial"/>
          <a:ea typeface="Arial"/>
          <a:cs typeface="Arial"/>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Są większe - 60,0%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0.6</c:v>
                </c:pt>
              </c:numCache>
            </c:numRef>
          </c:val>
        </c:ser>
        <c:ser>
          <c:idx val="1"/>
          <c:order val="1"/>
          <c:tx>
            <c:strRef>
              <c:f>Arkusz1!$A$2</c:f>
              <c:strCache>
                <c:ptCount val="1"/>
                <c:pt idx="0">
                  <c:v>Są mniejsze - 12,0%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0.12</c:v>
                </c:pt>
              </c:numCache>
            </c:numRef>
          </c:val>
        </c:ser>
        <c:ser>
          <c:idx val="2"/>
          <c:order val="2"/>
          <c:tx>
            <c:strRef>
              <c:f>Arkusz1!$A$3</c:f>
              <c:strCache>
                <c:ptCount val="1"/>
                <c:pt idx="0">
                  <c:v>Nie ma większej różnicy - 22,0%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0.22</c:v>
                </c:pt>
              </c:numCache>
            </c:numRef>
          </c:val>
        </c:ser>
        <c:ser>
          <c:idx val="3"/>
          <c:order val="3"/>
          <c:tx>
            <c:strRef>
              <c:f>Arkusz1!$A$4</c:f>
              <c:strCache>
                <c:ptCount val="1"/>
                <c:pt idx="0">
                  <c:v>Trudno powiedzieć - 6,0%</c:v>
                </c:pt>
              </c:strCache>
            </c:strRef>
          </c:tx>
          <c:spPr>
            <a:solidFill>
              <a:srgbClr val="CC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0.06</c:v>
                </c:pt>
              </c:numCache>
            </c:numRef>
          </c:val>
        </c:ser>
        <c:dLbls>
          <c:showLegendKey val="0"/>
          <c:showVal val="1"/>
          <c:showCatName val="0"/>
          <c:showSerName val="0"/>
          <c:showPercent val="0"/>
          <c:showBubbleSize val="0"/>
        </c:dLbls>
        <c:gapWidth val="150"/>
        <c:shape val="box"/>
        <c:axId val="267090432"/>
        <c:axId val="257480320"/>
        <c:axId val="0"/>
      </c:bar3DChart>
      <c:catAx>
        <c:axId val="267090432"/>
        <c:scaling>
          <c:orientation val="minMax"/>
        </c:scaling>
        <c:delete val="1"/>
        <c:axPos val="b"/>
        <c:majorTickMark val="out"/>
        <c:minorTickMark val="none"/>
        <c:tickLblPos val="nextTo"/>
        <c:crossAx val="257480320"/>
        <c:crosses val="autoZero"/>
        <c:auto val="1"/>
        <c:lblAlgn val="ctr"/>
        <c:lblOffset val="100"/>
        <c:noMultiLvlLbl val="0"/>
      </c:catAx>
      <c:valAx>
        <c:axId val="25748032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267090432"/>
        <c:crosses val="autoZero"/>
        <c:crossBetween val="between"/>
      </c:valAx>
      <c:spPr>
        <a:solidFill>
          <a:srgbClr val="FFCC00"/>
        </a:solidFill>
        <a:ln w="24805">
          <a:noFill/>
        </a:ln>
      </c:spPr>
    </c:plotArea>
    <c:legend>
      <c:legendPos val="b"/>
      <c:layout>
        <c:manualLayout>
          <c:xMode val="edge"/>
          <c:yMode val="edge"/>
          <c:x val="0.13227513227513227"/>
          <c:y val="0.87434554973821987"/>
          <c:w val="0.73368606701940031"/>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2556390977443608E-2"/>
          <c:w val="0.88536155202821865"/>
          <c:h val="0.80200501253132828"/>
        </c:manualLayout>
      </c:layout>
      <c:bar3DChart>
        <c:barDir val="col"/>
        <c:grouping val="clustered"/>
        <c:varyColors val="0"/>
        <c:ser>
          <c:idx val="0"/>
          <c:order val="0"/>
          <c:tx>
            <c:strRef>
              <c:f>Arkusz1!$A$1</c:f>
              <c:strCache>
                <c:ptCount val="1"/>
                <c:pt idx="0">
                  <c:v>Tak - 26,0%</c:v>
                </c:pt>
              </c:strCache>
            </c:strRef>
          </c:tx>
          <c:spPr>
            <a:solidFill>
              <a:srgbClr val="99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0.26</c:v>
                </c:pt>
              </c:numCache>
            </c:numRef>
          </c:val>
        </c:ser>
        <c:ser>
          <c:idx val="1"/>
          <c:order val="1"/>
          <c:tx>
            <c:strRef>
              <c:f>Arkusz1!$A$2</c:f>
              <c:strCache>
                <c:ptCount val="1"/>
                <c:pt idx="0">
                  <c:v>Raczej tak - 38,0%</c:v>
                </c:pt>
              </c:strCache>
            </c:strRef>
          </c:tx>
          <c:spPr>
            <a:solidFill>
              <a:srgbClr val="993366"/>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0.38</c:v>
                </c:pt>
              </c:numCache>
            </c:numRef>
          </c:val>
        </c:ser>
        <c:ser>
          <c:idx val="2"/>
          <c:order val="2"/>
          <c:tx>
            <c:strRef>
              <c:f>Arkusz1!$A$3</c:f>
              <c:strCache>
                <c:ptCount val="1"/>
                <c:pt idx="0">
                  <c:v>Raczej nie - 22,0%</c:v>
                </c:pt>
              </c:strCache>
            </c:strRef>
          </c:tx>
          <c:spPr>
            <a:solidFill>
              <a:srgbClr val="CCFFCC"/>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0.22</c:v>
                </c:pt>
              </c:numCache>
            </c:numRef>
          </c:val>
        </c:ser>
        <c:ser>
          <c:idx val="3"/>
          <c:order val="3"/>
          <c:tx>
            <c:strRef>
              <c:f>Arkusz1!$A$4</c:f>
              <c:strCache>
                <c:ptCount val="1"/>
                <c:pt idx="0">
                  <c:v>Nie - 10,0%</c:v>
                </c:pt>
              </c:strCache>
            </c:strRef>
          </c:tx>
          <c:spPr>
            <a:solidFill>
              <a:srgbClr val="FFCC99"/>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- 4,0%</c:v>
                </c:pt>
              </c:strCache>
            </c:strRef>
          </c:tx>
          <c:spPr>
            <a:solidFill>
              <a:srgbClr val="CC99FF"/>
            </a:solidFill>
            <a:ln w="12401">
              <a:solidFill>
                <a:srgbClr val="000000"/>
              </a:solidFill>
              <a:prstDash val="solid"/>
            </a:ln>
          </c:spPr>
          <c:invertIfNegative val="0"/>
          <c:dLbls>
            <c:spPr>
              <a:solidFill>
                <a:srgbClr val="FFFFFF"/>
              </a:solidFill>
              <a:ln w="24802">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0.04</c:v>
                </c:pt>
              </c:numCache>
            </c:numRef>
          </c:val>
        </c:ser>
        <c:dLbls>
          <c:showLegendKey val="0"/>
          <c:showVal val="1"/>
          <c:showCatName val="0"/>
          <c:showSerName val="0"/>
          <c:showPercent val="0"/>
          <c:showBubbleSize val="0"/>
        </c:dLbls>
        <c:gapWidth val="150"/>
        <c:shape val="box"/>
        <c:axId val="267090944"/>
        <c:axId val="257540096"/>
        <c:axId val="0"/>
      </c:bar3DChart>
      <c:catAx>
        <c:axId val="267090944"/>
        <c:scaling>
          <c:orientation val="minMax"/>
        </c:scaling>
        <c:delete val="1"/>
        <c:axPos val="b"/>
        <c:majorTickMark val="out"/>
        <c:minorTickMark val="none"/>
        <c:tickLblPos val="nextTo"/>
        <c:crossAx val="257540096"/>
        <c:crosses val="autoZero"/>
        <c:auto val="1"/>
        <c:lblAlgn val="ctr"/>
        <c:lblOffset val="100"/>
        <c:noMultiLvlLbl val="0"/>
      </c:catAx>
      <c:valAx>
        <c:axId val="257540096"/>
        <c:scaling>
          <c:orientation val="minMax"/>
        </c:scaling>
        <c:delete val="0"/>
        <c:axPos val="l"/>
        <c:majorGridlines>
          <c:spPr>
            <a:ln w="3100">
              <a:solidFill>
                <a:srgbClr val="000000"/>
              </a:solidFill>
              <a:prstDash val="solid"/>
            </a:ln>
          </c:spPr>
        </c:majorGridlines>
        <c:numFmt formatCode="0%" sourceLinked="1"/>
        <c:majorTickMark val="out"/>
        <c:minorTickMark val="none"/>
        <c:tickLblPos val="nextTo"/>
        <c:spPr>
          <a:ln w="3100">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267090944"/>
        <c:crosses val="autoZero"/>
        <c:crossBetween val="between"/>
      </c:valAx>
      <c:spPr>
        <a:solidFill>
          <a:srgbClr val="FFCC00"/>
        </a:solidFill>
        <a:ln w="24802">
          <a:noFill/>
        </a:ln>
      </c:spPr>
    </c:plotArea>
    <c:legend>
      <c:legendPos val="b"/>
      <c:layout>
        <c:manualLayout>
          <c:xMode val="edge"/>
          <c:yMode val="edge"/>
          <c:x val="5.8201058201058198E-2"/>
          <c:y val="0.87969924812030076"/>
          <c:w val="0.88183421516754845"/>
          <c:h val="0.11278195488721804"/>
        </c:manualLayout>
      </c:layout>
      <c:overlay val="0"/>
      <c:spPr>
        <a:solidFill>
          <a:srgbClr val="FFFFFF"/>
        </a:solidFill>
        <a:ln w="3100">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0">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375E-2"/>
          <c:y val="2.2556390977443608E-2"/>
          <c:w val="0.86805555555555558"/>
          <c:h val="0.7192982456140351"/>
        </c:manualLayout>
      </c:layout>
      <c:bar3DChart>
        <c:barDir val="col"/>
        <c:grouping val="clustered"/>
        <c:varyColors val="0"/>
        <c:ser>
          <c:idx val="0"/>
          <c:order val="0"/>
          <c:tx>
            <c:strRef>
              <c:f>Arkusz1!$A$1</c:f>
              <c:strCache>
                <c:ptCount val="1"/>
                <c:pt idx="0">
                  <c:v>Przeszkadzanie w prowadzeniu lekcji - 32,17%</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0.32169999999999999</c:v>
                </c:pt>
              </c:numCache>
            </c:numRef>
          </c:val>
        </c:ser>
        <c:ser>
          <c:idx val="1"/>
          <c:order val="1"/>
          <c:tx>
            <c:strRef>
              <c:f>Arkusz1!$A$2</c:f>
              <c:strCache>
                <c:ptCount val="1"/>
                <c:pt idx="0">
                  <c:v>Brak szacunku wobec nauczyciela - 24,42%</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0.2442</c:v>
                </c:pt>
              </c:numCache>
            </c:numRef>
          </c:val>
        </c:ser>
        <c:ser>
          <c:idx val="2"/>
          <c:order val="2"/>
          <c:tx>
            <c:strRef>
              <c:f>Arkusz1!$A$3</c:f>
              <c:strCache>
                <c:ptCount val="1"/>
                <c:pt idx="0">
                  <c:v>Kwestionowanie autorytetu nauczyciela - 16,27%</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0.16270000000000001</c:v>
                </c:pt>
              </c:numCache>
            </c:numRef>
          </c:val>
        </c:ser>
        <c:ser>
          <c:idx val="3"/>
          <c:order val="3"/>
          <c:tx>
            <c:strRef>
              <c:f>Arkusz1!$A$4</c:f>
              <c:strCache>
                <c:ptCount val="1"/>
                <c:pt idx="0">
                  <c:v>Niewykonywanie próśb i poleceń nauczyciela - 11,15%</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0.1115</c:v>
                </c:pt>
              </c:numCache>
            </c:numRef>
          </c:val>
        </c:ser>
        <c:ser>
          <c:idx val="4"/>
          <c:order val="4"/>
          <c:tx>
            <c:strRef>
              <c:f>Arkusz1!$A$5</c:f>
              <c:strCache>
                <c:ptCount val="1"/>
                <c:pt idx="0">
                  <c:v>Wyśmiewanie nauczyciela - 3,31%</c:v>
                </c:pt>
              </c:strCache>
            </c:strRef>
          </c:tx>
          <c:spPr>
            <a:solidFill>
              <a:srgbClr val="660066"/>
            </a:solidFill>
            <a:ln w="12407">
              <a:solidFill>
                <a:srgbClr val="000000"/>
              </a:solidFill>
              <a:prstDash val="solid"/>
            </a:ln>
          </c:spPr>
          <c:invertIfNegative val="0"/>
          <c:dLbls>
            <c:spPr>
              <a:solidFill>
                <a:srgbClr val="C0C0C0"/>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3.3099999999999997E-2</c:v>
                </c:pt>
              </c:numCache>
            </c:numRef>
          </c:val>
        </c:ser>
        <c:ser>
          <c:idx val="5"/>
          <c:order val="5"/>
          <c:tx>
            <c:strRef>
              <c:f>Arkusz1!$A$6</c:f>
              <c:strCache>
                <c:ptCount val="1"/>
                <c:pt idx="0">
                  <c:v>Inne zachowania - 7,52%</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7.5200000000000003E-2</c:v>
                </c:pt>
              </c:numCache>
            </c:numRef>
          </c:val>
        </c:ser>
        <c:ser>
          <c:idx val="6"/>
          <c:order val="6"/>
          <c:tx>
            <c:strRef>
              <c:f>Arkusz1!$A$7</c:f>
              <c:strCache>
                <c:ptCount val="1"/>
                <c:pt idx="0">
                  <c:v>Trudno powiedzieć - 5,17%</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5.1700000000000003E-2</c:v>
                </c:pt>
              </c:numCache>
            </c:numRef>
          </c:val>
        </c:ser>
        <c:dLbls>
          <c:showLegendKey val="0"/>
          <c:showVal val="1"/>
          <c:showCatName val="0"/>
          <c:showSerName val="0"/>
          <c:showPercent val="0"/>
          <c:showBubbleSize val="0"/>
        </c:dLbls>
        <c:gapWidth val="150"/>
        <c:shape val="box"/>
        <c:axId val="270045696"/>
        <c:axId val="257541824"/>
        <c:axId val="0"/>
      </c:bar3DChart>
      <c:catAx>
        <c:axId val="270045696"/>
        <c:scaling>
          <c:orientation val="minMax"/>
        </c:scaling>
        <c:delete val="1"/>
        <c:axPos val="b"/>
        <c:majorTickMark val="out"/>
        <c:minorTickMark val="none"/>
        <c:tickLblPos val="nextTo"/>
        <c:crossAx val="257541824"/>
        <c:crosses val="autoZero"/>
        <c:auto val="1"/>
        <c:lblAlgn val="ctr"/>
        <c:lblOffset val="100"/>
        <c:noMultiLvlLbl val="0"/>
      </c:catAx>
      <c:valAx>
        <c:axId val="257541824"/>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270045696"/>
        <c:crosses val="autoZero"/>
        <c:crossBetween val="between"/>
      </c:valAx>
      <c:spPr>
        <a:solidFill>
          <a:srgbClr val="FFCC00"/>
        </a:solidFill>
        <a:ln w="24814">
          <a:noFill/>
        </a:ln>
      </c:spPr>
    </c:plotArea>
    <c:legend>
      <c:legendPos val="b"/>
      <c:layout>
        <c:manualLayout>
          <c:xMode val="edge"/>
          <c:yMode val="edge"/>
          <c:x val="3.472222222222222E-3"/>
          <c:y val="0.79448621553884713"/>
          <c:w val="0.98958333333333337"/>
          <c:h val="0.19799498746867167"/>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Bardzo często - 6,0%</c:v>
                </c:pt>
              </c:strCache>
            </c:strRef>
          </c:tx>
          <c:spPr>
            <a:solidFill>
              <a:srgbClr val="9999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0.06</c:v>
                </c:pt>
              </c:numCache>
            </c:numRef>
          </c:val>
        </c:ser>
        <c:ser>
          <c:idx val="1"/>
          <c:order val="1"/>
          <c:tx>
            <c:strRef>
              <c:f>Arkusz1!$A$2</c:f>
              <c:strCache>
                <c:ptCount val="1"/>
                <c:pt idx="0">
                  <c:v>Często - 12,0%</c:v>
                </c:pt>
              </c:strCache>
            </c:strRef>
          </c:tx>
          <c:spPr>
            <a:solidFill>
              <a:srgbClr val="FF8080"/>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0.12</c:v>
                </c:pt>
              </c:numCache>
            </c:numRef>
          </c:val>
        </c:ser>
        <c:ser>
          <c:idx val="2"/>
          <c:order val="2"/>
          <c:tx>
            <c:strRef>
              <c:f>Arkusz1!$A$3</c:f>
              <c:strCache>
                <c:ptCount val="1"/>
                <c:pt idx="0">
                  <c:v>Rzadko - 66,0%</c:v>
                </c:pt>
              </c:strCache>
            </c:strRef>
          </c:tx>
          <c:spPr>
            <a:solidFill>
              <a:srgbClr val="CCFFCC"/>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0.66</c:v>
                </c:pt>
              </c:numCache>
            </c:numRef>
          </c:val>
        </c:ser>
        <c:ser>
          <c:idx val="3"/>
          <c:order val="3"/>
          <c:tx>
            <c:strRef>
              <c:f>Arkusz1!$A$4</c:f>
              <c:strCache>
                <c:ptCount val="1"/>
                <c:pt idx="0">
                  <c:v>Bardzo rzadko - 14,0%</c:v>
                </c:pt>
              </c:strCache>
            </c:strRef>
          </c:tx>
          <c:spPr>
            <a:solidFill>
              <a:srgbClr val="CCFFFF"/>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0.14000000000000001</c:v>
                </c:pt>
              </c:numCache>
            </c:numRef>
          </c:val>
        </c:ser>
        <c:ser>
          <c:idx val="4"/>
          <c:order val="4"/>
          <c:tx>
            <c:strRef>
              <c:f>Arkusz1!$A$5</c:f>
              <c:strCache>
                <c:ptCount val="1"/>
                <c:pt idx="0">
                  <c:v>Trudno powiedzieć - 2,0%</c:v>
                </c:pt>
              </c:strCache>
            </c:strRef>
          </c:tx>
          <c:spPr>
            <a:solidFill>
              <a:srgbClr val="660066"/>
            </a:solidFill>
            <a:ln w="12390">
              <a:solidFill>
                <a:srgbClr val="000000"/>
              </a:solidFill>
              <a:prstDash val="solid"/>
            </a:ln>
          </c:spPr>
          <c:invertIfNegative val="0"/>
          <c:dLbls>
            <c:spPr>
              <a:solidFill>
                <a:srgbClr val="FFFFFF"/>
              </a:solidFill>
              <a:ln w="24779">
                <a:noFill/>
              </a:ln>
            </c:spPr>
            <c:txPr>
              <a:bodyPr/>
              <a:lstStyle/>
              <a:p>
                <a:pPr>
                  <a:defRPr sz="97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0.02</c:v>
                </c:pt>
              </c:numCache>
            </c:numRef>
          </c:val>
        </c:ser>
        <c:dLbls>
          <c:showLegendKey val="0"/>
          <c:showVal val="1"/>
          <c:showCatName val="0"/>
          <c:showSerName val="0"/>
          <c:showPercent val="0"/>
          <c:showBubbleSize val="0"/>
        </c:dLbls>
        <c:gapWidth val="150"/>
        <c:shape val="box"/>
        <c:axId val="270046720"/>
        <c:axId val="257543552"/>
        <c:axId val="0"/>
      </c:bar3DChart>
      <c:catAx>
        <c:axId val="270046720"/>
        <c:scaling>
          <c:orientation val="minMax"/>
        </c:scaling>
        <c:delete val="1"/>
        <c:axPos val="b"/>
        <c:majorTickMark val="out"/>
        <c:minorTickMark val="none"/>
        <c:tickLblPos val="nextTo"/>
        <c:crossAx val="257543552"/>
        <c:crosses val="autoZero"/>
        <c:auto val="1"/>
        <c:lblAlgn val="ctr"/>
        <c:lblOffset val="100"/>
        <c:noMultiLvlLbl val="0"/>
      </c:catAx>
      <c:valAx>
        <c:axId val="257543552"/>
        <c:scaling>
          <c:orientation val="minMax"/>
        </c:scaling>
        <c:delete val="0"/>
        <c:axPos val="l"/>
        <c:majorGridlines>
          <c:spPr>
            <a:ln w="3097">
              <a:solidFill>
                <a:srgbClr val="000000"/>
              </a:solidFill>
              <a:prstDash val="solid"/>
            </a:ln>
          </c:spPr>
        </c:majorGridlines>
        <c:numFmt formatCode="0%" sourceLinked="1"/>
        <c:majorTickMark val="out"/>
        <c:minorTickMark val="none"/>
        <c:tickLblPos val="nextTo"/>
        <c:spPr>
          <a:ln w="3097">
            <a:solidFill>
              <a:srgbClr val="000000"/>
            </a:solidFill>
            <a:prstDash val="solid"/>
          </a:ln>
        </c:spPr>
        <c:txPr>
          <a:bodyPr rot="0" vert="horz"/>
          <a:lstStyle/>
          <a:p>
            <a:pPr>
              <a:defRPr sz="976" b="0" i="0" u="none" strike="noStrike" baseline="0">
                <a:solidFill>
                  <a:srgbClr val="000000"/>
                </a:solidFill>
                <a:latin typeface="Arial"/>
                <a:ea typeface="Arial"/>
                <a:cs typeface="Arial"/>
              </a:defRPr>
            </a:pPr>
            <a:endParaRPr lang="pl-PL"/>
          </a:p>
        </c:txPr>
        <c:crossAx val="270046720"/>
        <c:crosses val="autoZero"/>
        <c:crossBetween val="between"/>
      </c:valAx>
      <c:spPr>
        <a:solidFill>
          <a:srgbClr val="FFCC00"/>
        </a:solidFill>
        <a:ln w="24779">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097">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7">
      <a:solidFill>
        <a:srgbClr val="000000"/>
      </a:solidFill>
      <a:prstDash val="solid"/>
    </a:ln>
  </c:spPr>
  <c:txPr>
    <a:bodyPr/>
    <a:lstStyle/>
    <a:p>
      <a:pPr>
        <a:defRPr sz="976" b="0" i="0" u="none" strike="noStrike" baseline="0">
          <a:solidFill>
            <a:srgbClr val="000000"/>
          </a:solidFill>
          <a:latin typeface="Arial"/>
          <a:ea typeface="Arial"/>
          <a:cs typeface="Arial"/>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78356164383561644"/>
        </c:manualLayout>
      </c:layout>
      <c:bar3DChart>
        <c:barDir val="col"/>
        <c:grouping val="clustered"/>
        <c:varyColors val="0"/>
        <c:ser>
          <c:idx val="0"/>
          <c:order val="0"/>
          <c:tx>
            <c:strRef>
              <c:f>Arkusz1!$A$1</c:f>
              <c:strCache>
                <c:ptCount val="1"/>
                <c:pt idx="0">
                  <c:v>Tak - 26,0%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0.26</c:v>
                </c:pt>
              </c:numCache>
            </c:numRef>
          </c:val>
        </c:ser>
        <c:ser>
          <c:idx val="1"/>
          <c:order val="1"/>
          <c:tx>
            <c:strRef>
              <c:f>Arkusz1!$A$2</c:f>
              <c:strCache>
                <c:ptCount val="1"/>
                <c:pt idx="0">
                  <c:v>Raczej tak - 42,0%</c:v>
                </c:pt>
              </c:strCache>
            </c:strRef>
          </c:tx>
          <c:spPr>
            <a:solidFill>
              <a:srgbClr val="FF8080"/>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0.42</c:v>
                </c:pt>
              </c:numCache>
            </c:numRef>
          </c:val>
        </c:ser>
        <c:ser>
          <c:idx val="2"/>
          <c:order val="2"/>
          <c:tx>
            <c:strRef>
              <c:f>Arkusz1!$A$3</c:f>
              <c:strCache>
                <c:ptCount val="1"/>
                <c:pt idx="0">
                  <c:v>Raczej nie - 16,0%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0.16</c:v>
                </c:pt>
              </c:numCache>
            </c:numRef>
          </c:val>
        </c:ser>
        <c:ser>
          <c:idx val="3"/>
          <c:order val="3"/>
          <c:tx>
            <c:strRef>
              <c:f>Arkusz1!$A$4</c:f>
              <c:strCache>
                <c:ptCount val="1"/>
                <c:pt idx="0">
                  <c:v>Nie - 10,0%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- 6,0%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0.06</c:v>
                </c:pt>
              </c:numCache>
            </c:numRef>
          </c:val>
        </c:ser>
        <c:dLbls>
          <c:showLegendKey val="0"/>
          <c:showVal val="1"/>
          <c:showCatName val="0"/>
          <c:showSerName val="0"/>
          <c:showPercent val="0"/>
          <c:showBubbleSize val="0"/>
        </c:dLbls>
        <c:gapWidth val="150"/>
        <c:shape val="box"/>
        <c:axId val="270047744"/>
        <c:axId val="257545280"/>
        <c:axId val="0"/>
      </c:bar3DChart>
      <c:catAx>
        <c:axId val="270047744"/>
        <c:scaling>
          <c:orientation val="minMax"/>
        </c:scaling>
        <c:delete val="1"/>
        <c:axPos val="b"/>
        <c:majorTickMark val="out"/>
        <c:minorTickMark val="none"/>
        <c:tickLblPos val="nextTo"/>
        <c:crossAx val="257545280"/>
        <c:crosses val="autoZero"/>
        <c:auto val="1"/>
        <c:lblAlgn val="ctr"/>
        <c:lblOffset val="100"/>
        <c:noMultiLvlLbl val="0"/>
      </c:catAx>
      <c:valAx>
        <c:axId val="25754528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270047744"/>
        <c:crosses val="autoZero"/>
        <c:crossBetween val="between"/>
      </c:valAx>
      <c:spPr>
        <a:solidFill>
          <a:srgbClr val="FFCC00"/>
        </a:solidFill>
        <a:ln w="24810">
          <a:noFill/>
        </a:ln>
      </c:spPr>
    </c:plotArea>
    <c:legend>
      <c:legendPos val="b"/>
      <c:layout>
        <c:manualLayout>
          <c:xMode val="edge"/>
          <c:yMode val="edge"/>
          <c:x val="5.8201058201058198E-2"/>
          <c:y val="0.86849315068493149"/>
          <c:w val="0.88183421516754845"/>
          <c:h val="0.12328767123287671"/>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Mniej niż 10% - 6,0%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0.06</c:v>
                </c:pt>
              </c:numCache>
            </c:numRef>
          </c:val>
        </c:ser>
        <c:ser>
          <c:idx val="1"/>
          <c:order val="1"/>
          <c:tx>
            <c:strRef>
              <c:f>Arkusz1!$A$2</c:f>
              <c:strCache>
                <c:ptCount val="1"/>
                <c:pt idx="0">
                  <c:v>Do 20% - 44,0%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0.44</c:v>
                </c:pt>
              </c:numCache>
            </c:numRef>
          </c:val>
        </c:ser>
        <c:ser>
          <c:idx val="2"/>
          <c:order val="2"/>
          <c:tx>
            <c:strRef>
              <c:f>Arkusz1!$A$3</c:f>
              <c:strCache>
                <c:ptCount val="1"/>
                <c:pt idx="0">
                  <c:v>20-30% - 32,0%</c:v>
                </c:pt>
              </c:strCache>
            </c:strRef>
          </c:tx>
          <c:spPr>
            <a:solidFill>
              <a:srgbClr val="FF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0.32</c:v>
                </c:pt>
              </c:numCache>
            </c:numRef>
          </c:val>
        </c:ser>
        <c:ser>
          <c:idx val="3"/>
          <c:order val="3"/>
          <c:tx>
            <c:strRef>
              <c:f>Arkusz1!$A$4</c:f>
              <c:strCache>
                <c:ptCount val="1"/>
                <c:pt idx="0">
                  <c:v>40-50% - 10,0%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Trudno powiedzieć - 4,0%</c:v>
                </c:pt>
              </c:strCache>
            </c:strRef>
          </c:tx>
          <c:spPr>
            <a:solidFill>
              <a:srgbClr val="6600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0.04</c:v>
                </c:pt>
              </c:numCache>
            </c:numRef>
          </c:val>
        </c:ser>
        <c:dLbls>
          <c:showLegendKey val="0"/>
          <c:showVal val="1"/>
          <c:showCatName val="0"/>
          <c:showSerName val="0"/>
          <c:showPercent val="0"/>
          <c:showBubbleSize val="0"/>
        </c:dLbls>
        <c:gapWidth val="150"/>
        <c:shape val="box"/>
        <c:axId val="270048768"/>
        <c:axId val="257820928"/>
        <c:axId val="0"/>
      </c:bar3DChart>
      <c:catAx>
        <c:axId val="270048768"/>
        <c:scaling>
          <c:orientation val="minMax"/>
        </c:scaling>
        <c:delete val="1"/>
        <c:axPos val="b"/>
        <c:majorTickMark val="out"/>
        <c:minorTickMark val="none"/>
        <c:tickLblPos val="nextTo"/>
        <c:crossAx val="257820928"/>
        <c:crosses val="autoZero"/>
        <c:auto val="1"/>
        <c:lblAlgn val="ctr"/>
        <c:lblOffset val="100"/>
        <c:noMultiLvlLbl val="0"/>
      </c:catAx>
      <c:valAx>
        <c:axId val="25782092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270048768"/>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5575221238938052E-2"/>
          <c:y val="2.2613065326633167E-2"/>
          <c:w val="0.86548672566371676"/>
          <c:h val="0.71859296482412061"/>
        </c:manualLayout>
      </c:layout>
      <c:bar3DChart>
        <c:barDir val="col"/>
        <c:grouping val="clustered"/>
        <c:varyColors val="0"/>
        <c:ser>
          <c:idx val="0"/>
          <c:order val="0"/>
          <c:tx>
            <c:strRef>
              <c:f>Arkusz1!$A$1</c:f>
              <c:strCache>
                <c:ptCount val="1"/>
                <c:pt idx="0">
                  <c:v>Brak kontroli ze strony rodziców - 28,73%</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0.2873</c:v>
                </c:pt>
              </c:numCache>
            </c:numRef>
          </c:val>
        </c:ser>
        <c:ser>
          <c:idx val="1"/>
          <c:order val="1"/>
          <c:tx>
            <c:strRef>
              <c:f>Arkusz1!$A$2</c:f>
              <c:strCache>
                <c:ptCount val="1"/>
                <c:pt idx="0">
                  <c:v>Zaniedbania ze strony rodziców - 24,22%</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0.2422</c:v>
                </c:pt>
              </c:numCache>
            </c:numRef>
          </c:val>
        </c:ser>
        <c:ser>
          <c:idx val="2"/>
          <c:order val="2"/>
          <c:tx>
            <c:strRef>
              <c:f>Arkusz1!$A$3</c:f>
              <c:strCache>
                <c:ptCount val="1"/>
                <c:pt idx="0">
                  <c:v>Brak zainteresowania nauką - 18,05%</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0.18049999999999999</c:v>
                </c:pt>
              </c:numCache>
            </c:numRef>
          </c:val>
        </c:ser>
        <c:ser>
          <c:idx val="3"/>
          <c:order val="3"/>
          <c:tx>
            <c:strRef>
              <c:f>Arkusz1!$A$4</c:f>
              <c:strCache>
                <c:ptCount val="1"/>
                <c:pt idx="0">
                  <c:v>Brak koncentracji na zajęciach - 11,22%</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0.11219999999999999</c:v>
                </c:pt>
              </c:numCache>
            </c:numRef>
          </c:val>
        </c:ser>
        <c:ser>
          <c:idx val="4"/>
          <c:order val="4"/>
          <c:tx>
            <c:strRef>
              <c:f>Arkusz1!$A$5</c:f>
              <c:strCache>
                <c:ptCount val="1"/>
                <c:pt idx="0">
                  <c:v>Zaległości z wcześniejszych lat edukacji - 7,39%</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7.3899999999999993E-2</c:v>
                </c:pt>
              </c:numCache>
            </c:numRef>
          </c:val>
        </c:ser>
        <c:ser>
          <c:idx val="5"/>
          <c:order val="5"/>
          <c:tx>
            <c:strRef>
              <c:f>Arkusz1!$A$6</c:f>
              <c:strCache>
                <c:ptCount val="1"/>
                <c:pt idx="0">
                  <c:v>Inne przyczyny - 5.09%</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5.0900000000000001E-2</c:v>
                </c:pt>
              </c:numCache>
            </c:numRef>
          </c:val>
        </c:ser>
        <c:ser>
          <c:idx val="6"/>
          <c:order val="6"/>
          <c:tx>
            <c:strRef>
              <c:f>Arkusz1!$A$7</c:f>
              <c:strCache>
                <c:ptCount val="1"/>
                <c:pt idx="0">
                  <c:v>Trudno powiedzieć - 3,30%</c:v>
                </c:pt>
              </c:strCache>
            </c:strRef>
          </c:tx>
          <c:spPr>
            <a:solidFill>
              <a:srgbClr val="0066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0.00%</c:formatCode>
                <c:ptCount val="1"/>
                <c:pt idx="0">
                  <c:v>3.3000000000000002E-2</c:v>
                </c:pt>
              </c:numCache>
            </c:numRef>
          </c:val>
        </c:ser>
        <c:dLbls>
          <c:showLegendKey val="0"/>
          <c:showVal val="1"/>
          <c:showCatName val="0"/>
          <c:showSerName val="0"/>
          <c:showPercent val="0"/>
          <c:showBubbleSize val="0"/>
        </c:dLbls>
        <c:gapWidth val="150"/>
        <c:shape val="box"/>
        <c:axId val="271557120"/>
        <c:axId val="257822656"/>
        <c:axId val="0"/>
      </c:bar3DChart>
      <c:catAx>
        <c:axId val="271557120"/>
        <c:scaling>
          <c:orientation val="minMax"/>
        </c:scaling>
        <c:delete val="1"/>
        <c:axPos val="b"/>
        <c:majorTickMark val="out"/>
        <c:minorTickMark val="none"/>
        <c:tickLblPos val="nextTo"/>
        <c:crossAx val="257822656"/>
        <c:crosses val="autoZero"/>
        <c:auto val="1"/>
        <c:lblAlgn val="ctr"/>
        <c:lblOffset val="100"/>
        <c:noMultiLvlLbl val="0"/>
      </c:catAx>
      <c:valAx>
        <c:axId val="257822656"/>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271557120"/>
        <c:crosses val="autoZero"/>
        <c:crossBetween val="between"/>
      </c:valAx>
      <c:spPr>
        <a:solidFill>
          <a:srgbClr val="FFCC00"/>
        </a:solidFill>
        <a:ln w="24814">
          <a:noFill/>
        </a:ln>
      </c:spPr>
    </c:plotArea>
    <c:legend>
      <c:legendPos val="b"/>
      <c:layout>
        <c:manualLayout>
          <c:xMode val="edge"/>
          <c:yMode val="edge"/>
          <c:x val="4.9557522123893805E-2"/>
          <c:y val="0.79396984924623115"/>
          <c:w val="0.89911504424778765"/>
          <c:h val="0.19849246231155779"/>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335793357933573E-2"/>
          <c:y val="2.3622047244094488E-2"/>
          <c:w val="0.88007380073800734"/>
          <c:h val="0.79265091863517056"/>
        </c:manualLayout>
      </c:layout>
      <c:bar3DChart>
        <c:barDir val="col"/>
        <c:grouping val="clustered"/>
        <c:varyColors val="0"/>
        <c:ser>
          <c:idx val="0"/>
          <c:order val="0"/>
          <c:tx>
            <c:strRef>
              <c:f>Arkusz1!$A$1</c:f>
              <c:strCache>
                <c:ptCount val="1"/>
                <c:pt idx="0">
                  <c:v>Są większe - 12,0%</c:v>
                </c:pt>
              </c:strCache>
            </c:strRef>
          </c:tx>
          <c:spPr>
            <a:solidFill>
              <a:srgbClr val="CCFFCC"/>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0.12</c:v>
                </c:pt>
              </c:numCache>
            </c:numRef>
          </c:val>
        </c:ser>
        <c:ser>
          <c:idx val="1"/>
          <c:order val="1"/>
          <c:tx>
            <c:strRef>
              <c:f>Arkusz1!$A$2</c:f>
              <c:strCache>
                <c:ptCount val="1"/>
                <c:pt idx="0">
                  <c:v>Są mniejsze - 24,0%</c:v>
                </c:pt>
              </c:strCache>
            </c:strRef>
          </c:tx>
          <c:spPr>
            <a:solidFill>
              <a:srgbClr val="FFCC99"/>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0.24</c:v>
                </c:pt>
              </c:numCache>
            </c:numRef>
          </c:val>
        </c:ser>
        <c:ser>
          <c:idx val="2"/>
          <c:order val="2"/>
          <c:tx>
            <c:strRef>
              <c:f>Arkusz1!$A$3</c:f>
              <c:strCache>
                <c:ptCount val="1"/>
                <c:pt idx="0">
                  <c:v>Nie ma większej różnicy 56,0%</c:v>
                </c:pt>
              </c:strCache>
            </c:strRef>
          </c:tx>
          <c:spPr>
            <a:solidFill>
              <a:srgbClr val="CCCCFF"/>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0.56000000000000005</c:v>
                </c:pt>
              </c:numCache>
            </c:numRef>
          </c:val>
        </c:ser>
        <c:ser>
          <c:idx val="3"/>
          <c:order val="3"/>
          <c:tx>
            <c:strRef>
              <c:f>Arkusz1!$A$4</c:f>
              <c:strCache>
                <c:ptCount val="1"/>
                <c:pt idx="0">
                  <c:v>Trudno powiedzieć - 8,0%</c:v>
                </c:pt>
              </c:strCache>
            </c:strRef>
          </c:tx>
          <c:spPr>
            <a:solidFill>
              <a:srgbClr val="993366"/>
            </a:solidFill>
            <a:ln w="12431">
              <a:solidFill>
                <a:srgbClr val="000000"/>
              </a:solidFill>
              <a:prstDash val="solid"/>
            </a:ln>
          </c:spPr>
          <c:invertIfNegative val="0"/>
          <c:dLbls>
            <c:spPr>
              <a:solidFill>
                <a:srgbClr val="FFFFFF"/>
              </a:solidFill>
              <a:ln w="24862">
                <a:noFill/>
              </a:ln>
            </c:spPr>
            <c:txPr>
              <a:bodyPr/>
              <a:lstStyle/>
              <a:p>
                <a:pPr>
                  <a:defRPr sz="9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0.08</c:v>
                </c:pt>
              </c:numCache>
            </c:numRef>
          </c:val>
        </c:ser>
        <c:dLbls>
          <c:showLegendKey val="0"/>
          <c:showVal val="1"/>
          <c:showCatName val="0"/>
          <c:showSerName val="0"/>
          <c:showPercent val="0"/>
          <c:showBubbleSize val="0"/>
        </c:dLbls>
        <c:gapWidth val="150"/>
        <c:shape val="box"/>
        <c:axId val="271559168"/>
        <c:axId val="257824384"/>
        <c:axId val="0"/>
      </c:bar3DChart>
      <c:catAx>
        <c:axId val="271559168"/>
        <c:scaling>
          <c:orientation val="minMax"/>
        </c:scaling>
        <c:delete val="1"/>
        <c:axPos val="b"/>
        <c:majorTickMark val="out"/>
        <c:minorTickMark val="none"/>
        <c:tickLblPos val="nextTo"/>
        <c:crossAx val="257824384"/>
        <c:crosses val="autoZero"/>
        <c:auto val="1"/>
        <c:lblAlgn val="ctr"/>
        <c:lblOffset val="100"/>
        <c:noMultiLvlLbl val="0"/>
      </c:catAx>
      <c:valAx>
        <c:axId val="257824384"/>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979" b="0" i="0" u="none" strike="noStrike" baseline="0">
                <a:solidFill>
                  <a:srgbClr val="000000"/>
                </a:solidFill>
                <a:latin typeface="Arial"/>
                <a:ea typeface="Arial"/>
                <a:cs typeface="Arial"/>
              </a:defRPr>
            </a:pPr>
            <a:endParaRPr lang="pl-PL"/>
          </a:p>
        </c:txPr>
        <c:crossAx val="271559168"/>
        <c:crosses val="autoZero"/>
        <c:crossBetween val="between"/>
      </c:valAx>
      <c:spPr>
        <a:solidFill>
          <a:srgbClr val="FFCC00"/>
        </a:solidFill>
        <a:ln w="24862">
          <a:noFill/>
        </a:ln>
      </c:spPr>
    </c:plotArea>
    <c:legend>
      <c:legendPos val="b"/>
      <c:layout>
        <c:manualLayout>
          <c:xMode val="edge"/>
          <c:yMode val="edge"/>
          <c:x val="0.13099630996309963"/>
          <c:y val="0.87401574803149606"/>
          <c:w val="0.73800738007380073"/>
          <c:h val="0.11811023622047244"/>
        </c:manualLayout>
      </c:layout>
      <c:overlay val="0"/>
      <c:spPr>
        <a:solidFill>
          <a:srgbClr val="FFFFFF"/>
        </a:solidFill>
        <a:ln w="3108">
          <a:solidFill>
            <a:srgbClr val="000000"/>
          </a:solidFill>
          <a:prstDash val="solid"/>
        </a:ln>
      </c:spPr>
      <c:txPr>
        <a:bodyPr/>
        <a:lstStyle/>
        <a:p>
          <a:pPr>
            <a:defRPr sz="90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979"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5"/>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9.6947935368043081E-2"/>
          <c:y val="2.3872679045092837E-2"/>
          <c:w val="0.86355475763016154"/>
          <c:h val="0.75331564986737398"/>
        </c:manualLayout>
      </c:layout>
      <c:bar3DChart>
        <c:barDir val="col"/>
        <c:grouping val="clustered"/>
        <c:varyColors val="0"/>
        <c:ser>
          <c:idx val="0"/>
          <c:order val="0"/>
          <c:tx>
            <c:strRef>
              <c:f>Arkusz1!$A$1</c:f>
              <c:strCache>
                <c:ptCount val="1"/>
                <c:pt idx="0">
                  <c:v>Sposób ubioru - 39,13%</c:v>
                </c:pt>
              </c:strCache>
            </c:strRef>
          </c:tx>
          <c:spPr>
            <a:solidFill>
              <a:srgbClr val="9999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0.39129999999999998</c:v>
                </c:pt>
              </c:numCache>
            </c:numRef>
          </c:val>
        </c:ser>
        <c:ser>
          <c:idx val="1"/>
          <c:order val="1"/>
          <c:tx>
            <c:strRef>
              <c:f>Arkusz1!$A$2</c:f>
              <c:strCache>
                <c:ptCount val="1"/>
                <c:pt idx="0">
                  <c:v>Sposób zachowania - 17,44%</c:v>
                </c:pt>
              </c:strCache>
            </c:strRef>
          </c:tx>
          <c:spPr>
            <a:solidFill>
              <a:srgbClr val="9933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0.1744</c:v>
                </c:pt>
              </c:numCache>
            </c:numRef>
          </c:val>
        </c:ser>
        <c:ser>
          <c:idx val="2"/>
          <c:order val="2"/>
          <c:tx>
            <c:strRef>
              <c:f>Arkusz1!$A$3</c:f>
              <c:strCache>
                <c:ptCount val="1"/>
                <c:pt idx="0">
                  <c:v>Demonstracyjne poczucie wyższości - 13,20%</c:v>
                </c:pt>
              </c:strCache>
            </c:strRef>
          </c:tx>
          <c:spPr>
            <a:solidFill>
              <a:srgbClr val="FFFFCC"/>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0.13200000000000001</c:v>
                </c:pt>
              </c:numCache>
            </c:numRef>
          </c:val>
        </c:ser>
        <c:ser>
          <c:idx val="3"/>
          <c:order val="3"/>
          <c:tx>
            <c:strRef>
              <c:f>Arkusz1!$A$4</c:f>
              <c:strCache>
                <c:ptCount val="1"/>
                <c:pt idx="0">
                  <c:v>Nie wyróżniają się niczym szczególnym - 13,20%</c:v>
                </c:pt>
              </c:strCache>
            </c:strRef>
          </c:tx>
          <c:spPr>
            <a:solidFill>
              <a:srgbClr val="CCFFFF"/>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0.13200000000000001</c:v>
                </c:pt>
              </c:numCache>
            </c:numRef>
          </c:val>
        </c:ser>
        <c:ser>
          <c:idx val="4"/>
          <c:order val="4"/>
          <c:tx>
            <c:strRef>
              <c:f>Arkusz1!$A$5</c:f>
              <c:strCache>
                <c:ptCount val="1"/>
                <c:pt idx="0">
                  <c:v>Inne cechy - 10,38%</c:v>
                </c:pt>
              </c:strCache>
            </c:strRef>
          </c:tx>
          <c:spPr>
            <a:solidFill>
              <a:srgbClr val="660066"/>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0.1038</c:v>
                </c:pt>
              </c:numCache>
            </c:numRef>
          </c:val>
        </c:ser>
        <c:ser>
          <c:idx val="5"/>
          <c:order val="5"/>
          <c:tx>
            <c:strRef>
              <c:f>Arkusz1!$A$6</c:f>
              <c:strCache>
                <c:ptCount val="1"/>
                <c:pt idx="0">
                  <c:v>Trudno powiedzieć - 6,65%</c:v>
                </c:pt>
              </c:strCache>
            </c:strRef>
          </c:tx>
          <c:spPr>
            <a:solidFill>
              <a:srgbClr val="FF8080"/>
            </a:solidFill>
            <a:ln w="12409">
              <a:solidFill>
                <a:srgbClr val="000000"/>
              </a:solidFill>
              <a:prstDash val="solid"/>
            </a:ln>
          </c:spPr>
          <c:invertIfNegative val="0"/>
          <c:dLbls>
            <c:spPr>
              <a:solidFill>
                <a:srgbClr val="FFFFFF"/>
              </a:solidFill>
              <a:ln w="24819">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6.6500000000000004E-2</c:v>
                </c:pt>
              </c:numCache>
            </c:numRef>
          </c:val>
        </c:ser>
        <c:dLbls>
          <c:showLegendKey val="0"/>
          <c:showVal val="1"/>
          <c:showCatName val="0"/>
          <c:showSerName val="0"/>
          <c:showPercent val="0"/>
          <c:showBubbleSize val="0"/>
        </c:dLbls>
        <c:gapWidth val="150"/>
        <c:shape val="box"/>
        <c:axId val="265157120"/>
        <c:axId val="247590272"/>
        <c:axId val="0"/>
      </c:bar3DChart>
      <c:catAx>
        <c:axId val="265157120"/>
        <c:scaling>
          <c:orientation val="minMax"/>
        </c:scaling>
        <c:delete val="1"/>
        <c:axPos val="b"/>
        <c:majorTickMark val="out"/>
        <c:minorTickMark val="none"/>
        <c:tickLblPos val="nextTo"/>
        <c:crossAx val="247590272"/>
        <c:crosses val="autoZero"/>
        <c:auto val="1"/>
        <c:lblAlgn val="ctr"/>
        <c:lblOffset val="100"/>
        <c:noMultiLvlLbl val="0"/>
      </c:catAx>
      <c:valAx>
        <c:axId val="247590272"/>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265157120"/>
        <c:crosses val="autoZero"/>
        <c:crossBetween val="between"/>
      </c:valAx>
      <c:spPr>
        <a:solidFill>
          <a:srgbClr val="FFCC00"/>
        </a:solidFill>
        <a:ln w="24819">
          <a:noFill/>
        </a:ln>
      </c:spPr>
    </c:plotArea>
    <c:legend>
      <c:legendPos val="b"/>
      <c:layout>
        <c:manualLayout>
          <c:xMode val="edge"/>
          <c:yMode val="edge"/>
          <c:x val="3.949730700179533E-2"/>
          <c:y val="0.83289124668435011"/>
          <c:w val="0.91921005385996413"/>
          <c:h val="0.15915119363395225"/>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4657534246575342E-2"/>
          <c:w val="0.88536155202821865"/>
          <c:h val="0.84109589041095889"/>
        </c:manualLayout>
      </c:layout>
      <c:bar3DChart>
        <c:barDir val="col"/>
        <c:grouping val="clustered"/>
        <c:varyColors val="0"/>
        <c:ser>
          <c:idx val="0"/>
          <c:order val="0"/>
          <c:tx>
            <c:strRef>
              <c:f>Arkusz1!$A$1</c:f>
              <c:strCache>
                <c:ptCount val="1"/>
                <c:pt idx="0">
                  <c:v>Tak - 40,0%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0.4</c:v>
                </c:pt>
              </c:numCache>
            </c:numRef>
          </c:val>
        </c:ser>
        <c:ser>
          <c:idx val="1"/>
          <c:order val="1"/>
          <c:tx>
            <c:strRef>
              <c:f>Arkusz1!$A$2</c:f>
              <c:strCache>
                <c:ptCount val="1"/>
                <c:pt idx="0">
                  <c:v>Raczej tak - 44,0%</c:v>
                </c:pt>
              </c:strCache>
            </c:strRef>
          </c:tx>
          <c:spPr>
            <a:solidFill>
              <a:srgbClr val="9933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0.44</c:v>
                </c:pt>
              </c:numCache>
            </c:numRef>
          </c:val>
        </c:ser>
        <c:ser>
          <c:idx val="2"/>
          <c:order val="2"/>
          <c:tx>
            <c:strRef>
              <c:f>Arkusz1!$A$3</c:f>
              <c:strCache>
                <c:ptCount val="1"/>
                <c:pt idx="0">
                  <c:v>Raczej nie - 16,0%</c:v>
                </c:pt>
              </c:strCache>
            </c:strRef>
          </c:tx>
          <c:spPr>
            <a:solidFill>
              <a:srgbClr val="CC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0.16</c:v>
                </c:pt>
              </c:numCache>
            </c:numRef>
          </c:val>
        </c:ser>
        <c:ser>
          <c:idx val="3"/>
          <c:order val="3"/>
          <c:tx>
            <c:strRef>
              <c:f>Arkusz1!$A$4</c:f>
              <c:strCache>
                <c:ptCount val="1"/>
                <c:pt idx="0">
                  <c:v>Nie - 2,0%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0.02</c:v>
                </c:pt>
              </c:numCache>
            </c:numRef>
          </c:val>
        </c:ser>
        <c:dLbls>
          <c:showLegendKey val="0"/>
          <c:showVal val="1"/>
          <c:showCatName val="0"/>
          <c:showSerName val="0"/>
          <c:showPercent val="0"/>
          <c:showBubbleSize val="0"/>
        </c:dLbls>
        <c:gapWidth val="150"/>
        <c:shape val="box"/>
        <c:axId val="271559680"/>
        <c:axId val="257892352"/>
        <c:axId val="0"/>
      </c:bar3DChart>
      <c:catAx>
        <c:axId val="271559680"/>
        <c:scaling>
          <c:orientation val="minMax"/>
        </c:scaling>
        <c:delete val="1"/>
        <c:axPos val="b"/>
        <c:majorTickMark val="out"/>
        <c:minorTickMark val="none"/>
        <c:tickLblPos val="nextTo"/>
        <c:crossAx val="257892352"/>
        <c:crosses val="autoZero"/>
        <c:auto val="1"/>
        <c:lblAlgn val="ctr"/>
        <c:lblOffset val="100"/>
        <c:noMultiLvlLbl val="0"/>
      </c:catAx>
      <c:valAx>
        <c:axId val="257892352"/>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271559680"/>
        <c:crosses val="autoZero"/>
        <c:crossBetween val="between"/>
      </c:valAx>
      <c:spPr>
        <a:solidFill>
          <a:srgbClr val="FFCC00"/>
        </a:solidFill>
        <a:ln w="24810">
          <a:noFill/>
        </a:ln>
      </c:spPr>
    </c:plotArea>
    <c:legend>
      <c:legendPos val="b"/>
      <c:layout>
        <c:manualLayout>
          <c:xMode val="edge"/>
          <c:yMode val="edge"/>
          <c:x val="0.12522045855379188"/>
          <c:y val="0.92602739726027394"/>
          <c:w val="0.74955908289241624"/>
          <c:h val="6.575342465753424E-2"/>
        </c:manualLayout>
      </c:layout>
      <c:overlay val="0"/>
      <c:spPr>
        <a:solidFill>
          <a:srgbClr val="FFFFFF"/>
        </a:solidFill>
        <a:ln w="3101">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3821989528795806"/>
        </c:manualLayout>
      </c:layout>
      <c:bar3DChart>
        <c:barDir val="col"/>
        <c:grouping val="clustered"/>
        <c:varyColors val="0"/>
        <c:ser>
          <c:idx val="0"/>
          <c:order val="0"/>
          <c:tx>
            <c:strRef>
              <c:f>Arkusz1!$A$1</c:f>
              <c:strCache>
                <c:ptCount val="1"/>
                <c:pt idx="0">
                  <c:v>Bardzo często - 4,0%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0.04</c:v>
                </c:pt>
              </c:numCache>
            </c:numRef>
          </c:val>
        </c:ser>
        <c:ser>
          <c:idx val="1"/>
          <c:order val="1"/>
          <c:tx>
            <c:strRef>
              <c:f>Arkusz1!$A$2</c:f>
              <c:strCache>
                <c:ptCount val="1"/>
                <c:pt idx="0">
                  <c:v>Często - 22,0%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0.22</c:v>
                </c:pt>
              </c:numCache>
            </c:numRef>
          </c:val>
        </c:ser>
        <c:ser>
          <c:idx val="2"/>
          <c:order val="2"/>
          <c:tx>
            <c:strRef>
              <c:f>Arkusz1!$A$3</c:f>
              <c:strCache>
                <c:ptCount val="1"/>
                <c:pt idx="0">
                  <c:v>Rzadko - 44,0%</c:v>
                </c:pt>
              </c:strCache>
            </c:strRef>
          </c:tx>
          <c:spPr>
            <a:solidFill>
              <a:srgbClr val="FFFFCC"/>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0.44</c:v>
                </c:pt>
              </c:numCache>
            </c:numRef>
          </c:val>
        </c:ser>
        <c:ser>
          <c:idx val="3"/>
          <c:order val="3"/>
          <c:tx>
            <c:strRef>
              <c:f>Arkusz1!$A$4</c:f>
              <c:strCache>
                <c:ptCount val="1"/>
                <c:pt idx="0">
                  <c:v>Bardzo rzadko - 10,0% </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ser>
          <c:idx val="4"/>
          <c:order val="4"/>
          <c:tx>
            <c:strRef>
              <c:f>Arkusz1!$A$5</c:f>
              <c:strCache>
                <c:ptCount val="1"/>
                <c:pt idx="0">
                  <c:v>W ogóle się nie kontaktują - 20,0%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97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0.2</c:v>
                </c:pt>
              </c:numCache>
            </c:numRef>
          </c:val>
        </c:ser>
        <c:dLbls>
          <c:showLegendKey val="0"/>
          <c:showVal val="1"/>
          <c:showCatName val="0"/>
          <c:showSerName val="0"/>
          <c:showPercent val="0"/>
          <c:showBubbleSize val="0"/>
        </c:dLbls>
        <c:gapWidth val="150"/>
        <c:shape val="box"/>
        <c:axId val="272290304"/>
        <c:axId val="257894080"/>
        <c:axId val="0"/>
      </c:bar3DChart>
      <c:catAx>
        <c:axId val="272290304"/>
        <c:scaling>
          <c:orientation val="minMax"/>
        </c:scaling>
        <c:delete val="1"/>
        <c:axPos val="b"/>
        <c:majorTickMark val="out"/>
        <c:minorTickMark val="none"/>
        <c:tickLblPos val="nextTo"/>
        <c:crossAx val="257894080"/>
        <c:crosses val="autoZero"/>
        <c:auto val="1"/>
        <c:lblAlgn val="ctr"/>
        <c:lblOffset val="100"/>
        <c:noMultiLvlLbl val="0"/>
      </c:catAx>
      <c:valAx>
        <c:axId val="257894080"/>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978" b="0" i="0" u="none" strike="noStrike" baseline="0">
                <a:solidFill>
                  <a:srgbClr val="000000"/>
                </a:solidFill>
                <a:latin typeface="Arial"/>
                <a:ea typeface="Arial"/>
                <a:cs typeface="Arial"/>
              </a:defRPr>
            </a:pPr>
            <a:endParaRPr lang="pl-PL"/>
          </a:p>
        </c:txPr>
        <c:crossAx val="272290304"/>
        <c:crosses val="autoZero"/>
        <c:crossBetween val="between"/>
      </c:valAx>
      <c:spPr>
        <a:solidFill>
          <a:srgbClr val="FFCC00"/>
        </a:solidFill>
        <a:ln w="24830">
          <a:noFill/>
        </a:ln>
      </c:spPr>
    </c:plotArea>
    <c:legend>
      <c:legendPos val="b"/>
      <c:layout>
        <c:manualLayout>
          <c:xMode val="edge"/>
          <c:yMode val="edge"/>
          <c:x val="0.10934744268077601"/>
          <c:y val="0.81937172774869105"/>
          <c:w val="0.77954144620811283"/>
          <c:h val="0.17277486910994763"/>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978" b="0" i="0" u="none" strike="noStrike" baseline="0">
          <a:solidFill>
            <a:srgbClr val="000000"/>
          </a:solidFill>
          <a:latin typeface="Arial"/>
          <a:ea typeface="Arial"/>
          <a:cs typeface="Arial"/>
        </a:defRPr>
      </a:pPr>
      <a:endParaRPr lang="pl-PL"/>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84816753926701571"/>
        </c:manualLayout>
      </c:layout>
      <c:bar3DChart>
        <c:barDir val="col"/>
        <c:grouping val="clustered"/>
        <c:varyColors val="0"/>
        <c:ser>
          <c:idx val="0"/>
          <c:order val="0"/>
          <c:tx>
            <c:strRef>
              <c:f>Arkusz1!$A$1</c:f>
              <c:strCache>
                <c:ptCount val="1"/>
                <c:pt idx="0">
                  <c:v>Częstsze - 18,0%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0.18</c:v>
                </c:pt>
              </c:numCache>
            </c:numRef>
          </c:val>
        </c:ser>
        <c:ser>
          <c:idx val="1"/>
          <c:order val="1"/>
          <c:tx>
            <c:strRef>
              <c:f>Arkusz1!$A$2</c:f>
              <c:strCache>
                <c:ptCount val="1"/>
                <c:pt idx="0">
                  <c:v>Rzadsze - 32,0%</c:v>
                </c:pt>
              </c:strCache>
            </c:strRef>
          </c:tx>
          <c:spPr>
            <a:solidFill>
              <a:srgbClr val="993366"/>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0.32</c:v>
                </c:pt>
              </c:numCache>
            </c:numRef>
          </c:val>
        </c:ser>
        <c:ser>
          <c:idx val="2"/>
          <c:order val="2"/>
          <c:tx>
            <c:strRef>
              <c:f>Arkusz1!$A$3</c:f>
              <c:strCache>
                <c:ptCount val="1"/>
                <c:pt idx="0">
                  <c:v>Nie ma większej róznicy - 40,0%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c:v>
                </c:pt>
              </c:numCache>
            </c:numRef>
          </c:val>
        </c:ser>
        <c:ser>
          <c:idx val="3"/>
          <c:order val="3"/>
          <c:tx>
            <c:strRef>
              <c:f>Arkusz1!$A$4</c:f>
              <c:strCache>
                <c:ptCount val="1"/>
                <c:pt idx="0">
                  <c:v>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c:v>
                </c:pt>
              </c:numCache>
            </c:numRef>
          </c:val>
        </c:ser>
        <c:dLbls>
          <c:showLegendKey val="0"/>
          <c:showVal val="1"/>
          <c:showCatName val="0"/>
          <c:showSerName val="0"/>
          <c:showPercent val="0"/>
          <c:showBubbleSize val="0"/>
        </c:dLbls>
        <c:gapWidth val="150"/>
        <c:shape val="box"/>
        <c:axId val="272290816"/>
        <c:axId val="257895808"/>
        <c:axId val="0"/>
      </c:bar3DChart>
      <c:catAx>
        <c:axId val="272290816"/>
        <c:scaling>
          <c:orientation val="minMax"/>
        </c:scaling>
        <c:delete val="1"/>
        <c:axPos val="b"/>
        <c:majorTickMark val="out"/>
        <c:minorTickMark val="none"/>
        <c:tickLblPos val="nextTo"/>
        <c:crossAx val="257895808"/>
        <c:crosses val="autoZero"/>
        <c:auto val="1"/>
        <c:lblAlgn val="ctr"/>
        <c:lblOffset val="100"/>
        <c:noMultiLvlLbl val="0"/>
      </c:catAx>
      <c:valAx>
        <c:axId val="25789580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272290816"/>
        <c:crosses val="autoZero"/>
        <c:crossBetween val="between"/>
      </c:valAx>
      <c:spPr>
        <a:solidFill>
          <a:srgbClr val="FFCC00"/>
        </a:solidFill>
        <a:ln w="24805">
          <a:noFill/>
        </a:ln>
      </c:spPr>
    </c:plotArea>
    <c:legend>
      <c:legendPos val="b"/>
      <c:layout>
        <c:manualLayout>
          <c:xMode val="edge"/>
          <c:yMode val="edge"/>
          <c:x val="8.1128747795414458E-2"/>
          <c:y val="0.9293193717277487"/>
          <c:w val="0.83597883597883593"/>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4657534246575342E-2"/>
          <c:w val="0.89241622574955903"/>
          <c:h val="0.63835616438356169"/>
        </c:manualLayout>
      </c:layout>
      <c:bar3DChart>
        <c:barDir val="col"/>
        <c:grouping val="clustered"/>
        <c:varyColors val="0"/>
        <c:ser>
          <c:idx val="0"/>
          <c:order val="0"/>
          <c:tx>
            <c:strRef>
              <c:f>Arkusz1!$A$1</c:f>
              <c:strCache>
                <c:ptCount val="1"/>
                <c:pt idx="0">
                  <c:v>Współpracują ze szkołą - 20,0%</c:v>
                </c:pt>
              </c:strCache>
            </c:strRef>
          </c:tx>
          <c:spPr>
            <a:solidFill>
              <a:srgbClr val="9999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Obwiniają szkołę za problemy dzieci - 34,0%</c:v>
                </c:pt>
              </c:strCache>
            </c:strRef>
          </c:tx>
          <c:spPr>
            <a:solidFill>
              <a:srgbClr val="FFCC99"/>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0.34</c:v>
                </c:pt>
              </c:numCache>
            </c:numRef>
          </c:val>
        </c:ser>
        <c:ser>
          <c:idx val="2"/>
          <c:order val="2"/>
          <c:tx>
            <c:strRef>
              <c:f>Arkusz1!$A$3</c:f>
              <c:strCache>
                <c:ptCount val="1"/>
                <c:pt idx="0">
                  <c:v>Zachowują się biernie - 10,0%</c:v>
                </c:pt>
              </c:strCache>
            </c:strRef>
          </c:tx>
          <c:spPr>
            <a:solidFill>
              <a:srgbClr val="CCFFCC"/>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0.1</c:v>
                </c:pt>
              </c:numCache>
            </c:numRef>
          </c:val>
        </c:ser>
        <c:ser>
          <c:idx val="3"/>
          <c:order val="3"/>
          <c:tx>
            <c:strRef>
              <c:f>Arkusz1!$A$4</c:f>
              <c:strCache>
                <c:ptCount val="1"/>
                <c:pt idx="0">
                  <c:v>Uznają swoją winę i starają się rozwiązać problem - 30,0%</c:v>
                </c:pt>
              </c:strCache>
            </c:strRef>
          </c:tx>
          <c:spPr>
            <a:solidFill>
              <a:srgbClr val="CCFFFF"/>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c:v>
                </c:pt>
              </c:numCache>
            </c:numRef>
          </c:val>
        </c:ser>
        <c:ser>
          <c:idx val="4"/>
          <c:order val="4"/>
          <c:tx>
            <c:strRef>
              <c:f>Arkusz1!$A$5</c:f>
              <c:strCache>
                <c:ptCount val="1"/>
                <c:pt idx="0">
                  <c:v>Ignorują problemy - 6,0%</c:v>
                </c:pt>
              </c:strCache>
            </c:strRef>
          </c:tx>
          <c:spPr>
            <a:solidFill>
              <a:srgbClr val="660066"/>
            </a:solidFill>
            <a:ln w="12405">
              <a:solidFill>
                <a:srgbClr val="000000"/>
              </a:solidFill>
              <a:prstDash val="solid"/>
            </a:ln>
          </c:spPr>
          <c:invertIfNegative val="0"/>
          <c:dLbls>
            <c:spPr>
              <a:solidFill>
                <a:srgbClr val="FFFFFF"/>
              </a:solidFill>
              <a:ln w="24810">
                <a:noFill/>
              </a:ln>
            </c:spPr>
            <c:txPr>
              <a:bodyPr/>
              <a:lstStyle/>
              <a:p>
                <a:pPr>
                  <a:defRPr sz="9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0.06</c:v>
                </c:pt>
              </c:numCache>
            </c:numRef>
          </c:val>
        </c:ser>
        <c:dLbls>
          <c:showLegendKey val="0"/>
          <c:showVal val="1"/>
          <c:showCatName val="0"/>
          <c:showSerName val="0"/>
          <c:showPercent val="0"/>
          <c:showBubbleSize val="0"/>
        </c:dLbls>
        <c:gapWidth val="150"/>
        <c:shape val="box"/>
        <c:axId val="272292352"/>
        <c:axId val="257896960"/>
        <c:axId val="0"/>
      </c:bar3DChart>
      <c:catAx>
        <c:axId val="272292352"/>
        <c:scaling>
          <c:orientation val="minMax"/>
        </c:scaling>
        <c:delete val="1"/>
        <c:axPos val="b"/>
        <c:majorTickMark val="out"/>
        <c:minorTickMark val="none"/>
        <c:tickLblPos val="nextTo"/>
        <c:crossAx val="257896960"/>
        <c:crosses val="autoZero"/>
        <c:auto val="1"/>
        <c:lblAlgn val="ctr"/>
        <c:lblOffset val="100"/>
        <c:noMultiLvlLbl val="0"/>
      </c:catAx>
      <c:valAx>
        <c:axId val="25789696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28" b="0" i="0" u="none" strike="noStrike" baseline="0">
                <a:solidFill>
                  <a:srgbClr val="000000"/>
                </a:solidFill>
                <a:latin typeface="Arial"/>
                <a:ea typeface="Arial"/>
                <a:cs typeface="Arial"/>
              </a:defRPr>
            </a:pPr>
            <a:endParaRPr lang="pl-PL"/>
          </a:p>
        </c:txPr>
        <c:crossAx val="272292352"/>
        <c:crosses val="autoZero"/>
        <c:crossBetween val="between"/>
      </c:valAx>
      <c:spPr>
        <a:solidFill>
          <a:srgbClr val="FFCC00"/>
        </a:solidFill>
        <a:ln w="24810">
          <a:noFill/>
        </a:ln>
      </c:spPr>
    </c:plotArea>
    <c:legend>
      <c:legendPos val="b"/>
      <c:layout>
        <c:manualLayout>
          <c:xMode val="edge"/>
          <c:yMode val="edge"/>
          <c:x val="0.23104056437389769"/>
          <c:y val="0.72328767123287674"/>
          <c:w val="0.53791887125220461"/>
          <c:h val="0.26849315068493151"/>
        </c:manualLayout>
      </c:layout>
      <c:overlay val="0"/>
      <c:spPr>
        <a:solidFill>
          <a:srgbClr val="FFFFFF"/>
        </a:solidFill>
        <a:ln w="3101">
          <a:solidFill>
            <a:srgbClr val="000000"/>
          </a:solidFill>
          <a:prstDash val="solid"/>
        </a:ln>
      </c:spPr>
      <c:txPr>
        <a:bodyPr/>
        <a:lstStyle/>
        <a:p>
          <a:pPr>
            <a:defRPr sz="762"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28"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407407407407407E-2"/>
          <c:y val="2.5862068965517241E-2"/>
          <c:w val="0.8871252204585538"/>
          <c:h val="0.77873563218390807"/>
        </c:manualLayout>
      </c:layout>
      <c:bar3DChart>
        <c:barDir val="col"/>
        <c:grouping val="clustered"/>
        <c:varyColors val="0"/>
        <c:ser>
          <c:idx val="0"/>
          <c:order val="0"/>
          <c:tx>
            <c:strRef>
              <c:f>Arkusz1!$A$1</c:f>
              <c:strCache>
                <c:ptCount val="1"/>
                <c:pt idx="0">
                  <c:v>Bardzo wysoki - 0,0%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0</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0.08</c:v>
                </c:pt>
              </c:numCache>
            </c:numRef>
          </c:val>
        </c:ser>
        <c:ser>
          <c:idx val="2"/>
          <c:order val="2"/>
          <c:tx>
            <c:strRef>
              <c:f>Arkusz1!$A$3</c:f>
              <c:strCache>
                <c:ptCount val="1"/>
                <c:pt idx="0">
                  <c:v>Przeciętny - 48,0%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0.48</c:v>
                </c:pt>
              </c:numCache>
            </c:numRef>
          </c:val>
        </c:ser>
        <c:ser>
          <c:idx val="3"/>
          <c:order val="3"/>
          <c:tx>
            <c:strRef>
              <c:f>Arkusz1!$A$4</c:f>
              <c:strCache>
                <c:ptCount val="1"/>
                <c:pt idx="0">
                  <c:v>Niski - 32,0%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0.32</c:v>
                </c:pt>
              </c:numCache>
            </c:numRef>
          </c:val>
        </c:ser>
        <c:ser>
          <c:idx val="4"/>
          <c:order val="4"/>
          <c:tx>
            <c:strRef>
              <c:f>Arkusz1!$A$5</c:f>
              <c:strCache>
                <c:ptCount val="1"/>
                <c:pt idx="0">
                  <c:v>Bardzo niski - 8,0%</c:v>
                </c:pt>
              </c:strCache>
            </c:strRef>
          </c:tx>
          <c:spPr>
            <a:solidFill>
              <a:srgbClr val="660066"/>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0.08</c:v>
                </c:pt>
              </c:numCache>
            </c:numRef>
          </c:val>
        </c:ser>
        <c:ser>
          <c:idx val="5"/>
          <c:order val="5"/>
          <c:tx>
            <c:strRef>
              <c:f>Arkusz1!$A$6</c:f>
              <c:strCache>
                <c:ptCount val="1"/>
                <c:pt idx="0">
                  <c:v>Trudno powiedzieć - 6,0%</c:v>
                </c:pt>
              </c:strCache>
            </c:strRef>
          </c:tx>
          <c:spPr>
            <a:solidFill>
              <a:srgbClr val="FF8080"/>
            </a:solidFill>
            <a:ln w="12397">
              <a:solidFill>
                <a:srgbClr val="000000"/>
              </a:solidFill>
              <a:prstDash val="solid"/>
            </a:ln>
          </c:spPr>
          <c:invertIfNegative val="0"/>
          <c:dLbls>
            <c:spPr>
              <a:solidFill>
                <a:srgbClr val="FFFFFF"/>
              </a:solidFill>
              <a:ln w="24795">
                <a:noFill/>
              </a:ln>
            </c:spPr>
            <c:txPr>
              <a:bodyPr/>
              <a:lstStyle/>
              <a:p>
                <a:pPr>
                  <a:defRPr sz="879"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0.06</c:v>
                </c:pt>
              </c:numCache>
            </c:numRef>
          </c:val>
        </c:ser>
        <c:dLbls>
          <c:showLegendKey val="0"/>
          <c:showVal val="1"/>
          <c:showCatName val="0"/>
          <c:showSerName val="0"/>
          <c:showPercent val="0"/>
          <c:showBubbleSize val="0"/>
        </c:dLbls>
        <c:gapWidth val="150"/>
        <c:shape val="box"/>
        <c:axId val="265158144"/>
        <c:axId val="247592000"/>
        <c:axId val="0"/>
      </c:bar3DChart>
      <c:catAx>
        <c:axId val="265158144"/>
        <c:scaling>
          <c:orientation val="minMax"/>
        </c:scaling>
        <c:delete val="1"/>
        <c:axPos val="b"/>
        <c:majorTickMark val="out"/>
        <c:minorTickMark val="none"/>
        <c:tickLblPos val="nextTo"/>
        <c:crossAx val="247592000"/>
        <c:crosses val="autoZero"/>
        <c:auto val="1"/>
        <c:lblAlgn val="ctr"/>
        <c:lblOffset val="100"/>
        <c:noMultiLvlLbl val="0"/>
      </c:catAx>
      <c:valAx>
        <c:axId val="247592000"/>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79" b="0" i="0" u="none" strike="noStrike" baseline="0">
                <a:solidFill>
                  <a:srgbClr val="000000"/>
                </a:solidFill>
                <a:latin typeface="Arial"/>
                <a:ea typeface="Arial"/>
                <a:cs typeface="Arial"/>
              </a:defRPr>
            </a:pPr>
            <a:endParaRPr lang="pl-PL"/>
          </a:p>
        </c:txPr>
        <c:crossAx val="265158144"/>
        <c:crosses val="autoZero"/>
        <c:crossBetween val="between"/>
      </c:valAx>
      <c:spPr>
        <a:solidFill>
          <a:srgbClr val="FFCC00"/>
        </a:solidFill>
        <a:ln w="24795">
          <a:noFill/>
        </a:ln>
      </c:spPr>
    </c:plotArea>
    <c:legend>
      <c:legendPos val="b"/>
      <c:layout>
        <c:manualLayout>
          <c:xMode val="edge"/>
          <c:yMode val="edge"/>
          <c:x val="7.9365079365079361E-2"/>
          <c:y val="0.86781609195402298"/>
          <c:w val="0.83950617283950613"/>
          <c:h val="0.1235632183908046"/>
        </c:manualLayout>
      </c:layout>
      <c:overlay val="0"/>
      <c:spPr>
        <a:solidFill>
          <a:srgbClr val="FFFFFF"/>
        </a:solidFill>
        <a:ln w="3099">
          <a:solidFill>
            <a:srgbClr val="000000"/>
          </a:solidFill>
          <a:prstDash val="solid"/>
        </a:ln>
      </c:spPr>
      <c:txPr>
        <a:bodyPr/>
        <a:lstStyle/>
        <a:p>
          <a:pPr>
            <a:defRPr sz="80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79"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3.0365194653492394E-2"/>
          <c:w val="0.88536155202821865"/>
          <c:h val="0.84129665401215792"/>
        </c:manualLayout>
      </c:layout>
      <c:bar3DChart>
        <c:barDir val="col"/>
        <c:grouping val="clustered"/>
        <c:varyColors val="0"/>
        <c:ser>
          <c:idx val="0"/>
          <c:order val="0"/>
          <c:tx>
            <c:strRef>
              <c:f>Arkusz1!$A$1</c:f>
              <c:strCache>
                <c:ptCount val="1"/>
                <c:pt idx="0">
                  <c:v>Wyższy - 0,0%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c:v>
                </c:pt>
              </c:numCache>
            </c:numRef>
          </c:val>
        </c:ser>
        <c:ser>
          <c:idx val="1"/>
          <c:order val="1"/>
          <c:tx>
            <c:strRef>
              <c:f>Arkusz1!$A$2</c:f>
              <c:strCache>
                <c:ptCount val="1"/>
                <c:pt idx="0">
                  <c:v>Niższy - 58,0%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0.57999999999999996</c:v>
                </c:pt>
              </c:numCache>
            </c:numRef>
          </c:val>
        </c:ser>
        <c:ser>
          <c:idx val="2"/>
          <c:order val="2"/>
          <c:tx>
            <c:strRef>
              <c:f>Arkusz1!$A$3</c:f>
              <c:strCache>
                <c:ptCount val="1"/>
                <c:pt idx="0">
                  <c:v>Brak różnicy - 34,0%</c:v>
                </c:pt>
              </c:strCache>
            </c:strRef>
          </c:tx>
          <c:spPr>
            <a:solidFill>
              <a:srgbClr val="CCFFCC"/>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0.34</c:v>
                </c:pt>
              </c:numCache>
            </c:numRef>
          </c:val>
        </c:ser>
        <c:ser>
          <c:idx val="3"/>
          <c:order val="3"/>
          <c:tx>
            <c:strRef>
              <c:f>Arkusz1!$A$4</c:f>
              <c:strCache>
                <c:ptCount val="1"/>
                <c:pt idx="0">
                  <c:v>Trudno powiedzieć - 6,0%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0.06</c:v>
                </c:pt>
              </c:numCache>
            </c:numRef>
          </c:val>
        </c:ser>
        <c:dLbls>
          <c:showLegendKey val="0"/>
          <c:showVal val="1"/>
          <c:showCatName val="0"/>
          <c:showSerName val="0"/>
          <c:showPercent val="0"/>
          <c:showBubbleSize val="0"/>
        </c:dLbls>
        <c:gapWidth val="150"/>
        <c:shape val="box"/>
        <c:axId val="265171968"/>
        <c:axId val="247593728"/>
        <c:axId val="0"/>
      </c:bar3DChart>
      <c:catAx>
        <c:axId val="265171968"/>
        <c:scaling>
          <c:orientation val="minMax"/>
        </c:scaling>
        <c:delete val="1"/>
        <c:axPos val="b"/>
        <c:majorTickMark val="out"/>
        <c:minorTickMark val="none"/>
        <c:tickLblPos val="nextTo"/>
        <c:crossAx val="247593728"/>
        <c:crosses val="autoZero"/>
        <c:auto val="1"/>
        <c:lblAlgn val="ctr"/>
        <c:lblOffset val="100"/>
        <c:noMultiLvlLbl val="0"/>
      </c:catAx>
      <c:valAx>
        <c:axId val="247593728"/>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265171968"/>
        <c:crosses val="autoZero"/>
        <c:crossBetween val="between"/>
      </c:valAx>
      <c:spPr>
        <a:solidFill>
          <a:srgbClr val="FFCC00"/>
        </a:solidFill>
        <a:ln w="24805">
          <a:noFill/>
        </a:ln>
      </c:spPr>
    </c:plotArea>
    <c:legend>
      <c:legendPos val="b"/>
      <c:layout>
        <c:manualLayout>
          <c:xMode val="edge"/>
          <c:yMode val="edge"/>
          <c:x val="3.8800705467372132E-2"/>
          <c:y val="0.9293193717277487"/>
          <c:w val="0.92239858906525574"/>
          <c:h val="6.2827225130890049E-2"/>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4"/>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7601410934744264E-2"/>
          <c:y val="2.2556390977443608E-2"/>
          <c:w val="0.88888888888888884"/>
          <c:h val="0.5714285714285714"/>
        </c:manualLayout>
      </c:layout>
      <c:bar3DChart>
        <c:barDir val="col"/>
        <c:grouping val="clustered"/>
        <c:varyColors val="0"/>
        <c:ser>
          <c:idx val="0"/>
          <c:order val="0"/>
          <c:tx>
            <c:strRef>
              <c:f>Arkusz1!$A$1</c:f>
              <c:strCache>
                <c:ptCount val="1"/>
                <c:pt idx="0">
                  <c:v>Są akceptowane - 52,0%</c:v>
                </c:pt>
              </c:strCache>
            </c:strRef>
          </c:tx>
          <c:spPr>
            <a:solidFill>
              <a:srgbClr val="9999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0.52</c:v>
                </c:pt>
              </c:numCache>
            </c:numRef>
          </c:val>
        </c:ser>
        <c:ser>
          <c:idx val="1"/>
          <c:order val="1"/>
          <c:tx>
            <c:strRef>
              <c:f>Arkusz1!$A$2</c:f>
              <c:strCache>
                <c:ptCount val="1"/>
                <c:pt idx="0">
                  <c:v>Są odrzucane - 0,0%</c:v>
                </c:pt>
              </c:strCache>
            </c:strRef>
          </c:tx>
          <c:spPr>
            <a:solidFill>
              <a:srgbClr val="9933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c:v>
                </c:pt>
              </c:numCache>
            </c:numRef>
          </c:val>
        </c:ser>
        <c:ser>
          <c:idx val="2"/>
          <c:order val="2"/>
          <c:tx>
            <c:strRef>
              <c:f>Arkusz1!$A$3</c:f>
              <c:strCache>
                <c:ptCount val="1"/>
                <c:pt idx="0">
                  <c:v>Przewodzą grupie - 8,0%</c:v>
                </c:pt>
              </c:strCache>
            </c:strRef>
          </c:tx>
          <c:spPr>
            <a:solidFill>
              <a:srgbClr val="FFFF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0.08</c:v>
                </c:pt>
              </c:numCache>
            </c:numRef>
          </c:val>
        </c:ser>
        <c:ser>
          <c:idx val="3"/>
          <c:order val="3"/>
          <c:tx>
            <c:strRef>
              <c:f>Arkusz1!$A$4</c:f>
              <c:strCache>
                <c:ptCount val="1"/>
                <c:pt idx="0">
                  <c:v>Inni uczniowie wzorują się na nich - 14,0%</c:v>
                </c:pt>
              </c:strCache>
            </c:strRef>
          </c:tx>
          <c:spPr>
            <a:solidFill>
              <a:srgbClr val="CCFFFF"/>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0.14000000000000001</c:v>
                </c:pt>
              </c:numCache>
            </c:numRef>
          </c:val>
        </c:ser>
        <c:ser>
          <c:idx val="4"/>
          <c:order val="4"/>
          <c:tx>
            <c:strRef>
              <c:f>Arkusz1!$A$5</c:f>
              <c:strCache>
                <c:ptCount val="1"/>
                <c:pt idx="0">
                  <c:v>Są lubiane - 10,0%</c:v>
                </c:pt>
              </c:strCache>
            </c:strRef>
          </c:tx>
          <c:spPr>
            <a:solidFill>
              <a:srgbClr val="660066"/>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0.1</c:v>
                </c:pt>
              </c:numCache>
            </c:numRef>
          </c:val>
        </c:ser>
        <c:ser>
          <c:idx val="5"/>
          <c:order val="5"/>
          <c:tx>
            <c:strRef>
              <c:f>Arkusz1!$A$6</c:f>
              <c:strCache>
                <c:ptCount val="1"/>
                <c:pt idx="0">
                  <c:v>Nie ma róznicy w relacjach między nimi a innymi dziećmi - 16,0%</c:v>
                </c:pt>
              </c:strCache>
            </c:strRef>
          </c:tx>
          <c:spPr>
            <a:solidFill>
              <a:srgbClr val="FF8080"/>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c:formatCode>
                <c:ptCount val="1"/>
                <c:pt idx="0">
                  <c:v>0.16</c:v>
                </c:pt>
              </c:numCache>
            </c:numRef>
          </c:val>
        </c:ser>
        <c:ser>
          <c:idx val="6"/>
          <c:order val="6"/>
          <c:tx>
            <c:strRef>
              <c:f>Arkusz1!$A$7</c:f>
              <c:strCache>
                <c:ptCount val="1"/>
                <c:pt idx="0">
                  <c:v>Inne relacje - 4,0%</c:v>
                </c:pt>
              </c:strCache>
            </c:strRef>
          </c:tx>
          <c:spPr>
            <a:solidFill>
              <a:srgbClr val="0066CC"/>
            </a:solidFill>
            <a:ln w="12431">
              <a:solidFill>
                <a:srgbClr val="000000"/>
              </a:solidFill>
              <a:prstDash val="solid"/>
            </a:ln>
          </c:spPr>
          <c:invertIfNegative val="0"/>
          <c:dLbls>
            <c:spPr>
              <a:noFill/>
              <a:ln w="24862">
                <a:noFill/>
              </a:ln>
            </c:spPr>
            <c:txPr>
              <a:bodyPr/>
              <a:lstStyle/>
              <a:p>
                <a:pPr>
                  <a:defRPr sz="1028"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Arkusz1!$B$7</c:f>
              <c:numCache>
                <c:formatCode>0%</c:formatCode>
                <c:ptCount val="1"/>
                <c:pt idx="0">
                  <c:v>0.04</c:v>
                </c:pt>
              </c:numCache>
            </c:numRef>
          </c:val>
        </c:ser>
        <c:dLbls>
          <c:showLegendKey val="0"/>
          <c:showVal val="1"/>
          <c:showCatName val="0"/>
          <c:showSerName val="0"/>
          <c:showPercent val="0"/>
          <c:showBubbleSize val="0"/>
        </c:dLbls>
        <c:gapWidth val="150"/>
        <c:shape val="box"/>
        <c:axId val="265172992"/>
        <c:axId val="247890496"/>
        <c:axId val="0"/>
      </c:bar3DChart>
      <c:catAx>
        <c:axId val="265172992"/>
        <c:scaling>
          <c:orientation val="minMax"/>
        </c:scaling>
        <c:delete val="1"/>
        <c:axPos val="b"/>
        <c:majorTickMark val="out"/>
        <c:minorTickMark val="none"/>
        <c:tickLblPos val="nextTo"/>
        <c:crossAx val="247890496"/>
        <c:crosses val="autoZero"/>
        <c:auto val="1"/>
        <c:lblAlgn val="ctr"/>
        <c:lblOffset val="100"/>
        <c:noMultiLvlLbl val="0"/>
      </c:catAx>
      <c:valAx>
        <c:axId val="247890496"/>
        <c:scaling>
          <c:orientation val="minMax"/>
        </c:scaling>
        <c:delete val="0"/>
        <c:axPos val="l"/>
        <c:majorGridlines>
          <c:spPr>
            <a:ln w="3108">
              <a:solidFill>
                <a:srgbClr val="000000"/>
              </a:solidFill>
              <a:prstDash val="solid"/>
            </a:ln>
          </c:spPr>
        </c:majorGridlines>
        <c:numFmt formatCode="0%" sourceLinked="1"/>
        <c:majorTickMark val="out"/>
        <c:minorTickMark val="none"/>
        <c:tickLblPos val="nextTo"/>
        <c:spPr>
          <a:ln w="3108">
            <a:solidFill>
              <a:srgbClr val="000000"/>
            </a:solidFill>
            <a:prstDash val="solid"/>
          </a:ln>
        </c:spPr>
        <c:txPr>
          <a:bodyPr rot="0" vert="horz"/>
          <a:lstStyle/>
          <a:p>
            <a:pPr>
              <a:defRPr sz="1028" b="0" i="0" u="none" strike="noStrike" baseline="0">
                <a:solidFill>
                  <a:srgbClr val="000000"/>
                </a:solidFill>
                <a:latin typeface="Arial"/>
                <a:ea typeface="Arial"/>
                <a:cs typeface="Arial"/>
              </a:defRPr>
            </a:pPr>
            <a:endParaRPr lang="pl-PL"/>
          </a:p>
        </c:txPr>
        <c:crossAx val="265172992"/>
        <c:crosses val="autoZero"/>
        <c:crossBetween val="between"/>
      </c:valAx>
      <c:spPr>
        <a:solidFill>
          <a:srgbClr val="FFCC00"/>
        </a:solidFill>
        <a:ln w="24862">
          <a:noFill/>
        </a:ln>
      </c:spPr>
    </c:plotArea>
    <c:legend>
      <c:legendPos val="b"/>
      <c:layout>
        <c:manualLayout>
          <c:xMode val="edge"/>
          <c:yMode val="edge"/>
          <c:x val="0.20987654320987653"/>
          <c:y val="0.65162907268170422"/>
          <c:w val="0.57848324514991178"/>
          <c:h val="0.34085213032581452"/>
        </c:manualLayout>
      </c:layout>
      <c:overlay val="0"/>
      <c:spPr>
        <a:solidFill>
          <a:srgbClr val="FFFFFF"/>
        </a:solidFill>
        <a:ln w="3108">
          <a:solidFill>
            <a:srgbClr val="000000"/>
          </a:solidFill>
          <a:prstDash val="solid"/>
        </a:ln>
      </c:spPr>
      <c:txPr>
        <a:bodyPr/>
        <a:lstStyle/>
        <a:p>
          <a:pPr>
            <a:defRPr sz="71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8">
      <a:solidFill>
        <a:srgbClr val="000000"/>
      </a:solidFill>
      <a:prstDash val="solid"/>
    </a:ln>
  </c:spPr>
  <c:txPr>
    <a:bodyPr/>
    <a:lstStyle/>
    <a:p>
      <a:pPr>
        <a:defRPr sz="1028" b="0" i="0" u="none" strike="noStrike" baseline="0">
          <a:solidFill>
            <a:srgbClr val="000000"/>
          </a:solidFill>
          <a:latin typeface="Arial"/>
          <a:ea typeface="Arial"/>
          <a:cs typeface="Arial"/>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9"/>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9505300353356886E-2"/>
          <c:y val="2.1897810218978103E-2"/>
          <c:w val="0.88162544169611312"/>
          <c:h val="0.76155717761557173"/>
        </c:manualLayout>
      </c:layout>
      <c:bar3DChart>
        <c:barDir val="col"/>
        <c:grouping val="clustered"/>
        <c:varyColors val="0"/>
        <c:ser>
          <c:idx val="0"/>
          <c:order val="0"/>
          <c:tx>
            <c:strRef>
              <c:f>Arkusz1!$A$1</c:f>
              <c:strCache>
                <c:ptCount val="1"/>
                <c:pt idx="0">
                  <c:v>Pozytywny - 2,0%</c:v>
                </c:pt>
              </c:strCache>
            </c:strRef>
          </c:tx>
          <c:spPr>
            <a:solidFill>
              <a:srgbClr val="9999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0.02</c:v>
                </c:pt>
              </c:numCache>
            </c:numRef>
          </c:val>
        </c:ser>
        <c:ser>
          <c:idx val="1"/>
          <c:order val="1"/>
          <c:tx>
            <c:strRef>
              <c:f>Arkusz1!$A$2</c:f>
              <c:strCache>
                <c:ptCount val="1"/>
                <c:pt idx="0">
                  <c:v>Neutralny - 36,0%</c:v>
                </c:pt>
              </c:strCache>
            </c:strRef>
          </c:tx>
          <c:spPr>
            <a:solidFill>
              <a:srgbClr val="9933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0.36</c:v>
                </c:pt>
              </c:numCache>
            </c:numRef>
          </c:val>
        </c:ser>
        <c:ser>
          <c:idx val="2"/>
          <c:order val="2"/>
          <c:tx>
            <c:strRef>
              <c:f>Arkusz1!$A$3</c:f>
              <c:strCache>
                <c:ptCount val="1"/>
                <c:pt idx="0">
                  <c:v>Negatywny - 8,0%</c:v>
                </c:pt>
              </c:strCache>
            </c:strRef>
          </c:tx>
          <c:spPr>
            <a:solidFill>
              <a:srgbClr val="CCCCFF"/>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0.08</c:v>
                </c:pt>
              </c:numCache>
            </c:numRef>
          </c:val>
        </c:ser>
        <c:ser>
          <c:idx val="3"/>
          <c:order val="3"/>
          <c:tx>
            <c:strRef>
              <c:f>Arkusz1!$A$4</c:f>
              <c:strCache>
                <c:ptCount val="1"/>
                <c:pt idx="0">
                  <c:v>Brak różnicy między tymi a innymi uczniami - 52,0%</c:v>
                </c:pt>
              </c:strCache>
            </c:strRef>
          </c:tx>
          <c:spPr>
            <a:solidFill>
              <a:srgbClr val="CCFFCC"/>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0.52</c:v>
                </c:pt>
              </c:numCache>
            </c:numRef>
          </c:val>
        </c:ser>
        <c:ser>
          <c:idx val="4"/>
          <c:order val="4"/>
          <c:tx>
            <c:strRef>
              <c:f>Arkusz1!$A$5</c:f>
              <c:strCache>
                <c:ptCount val="1"/>
                <c:pt idx="0">
                  <c:v>Trudno powiedzieć - 2,0%</c:v>
                </c:pt>
              </c:strCache>
            </c:strRef>
          </c:tx>
          <c:spPr>
            <a:solidFill>
              <a:srgbClr val="660066"/>
            </a:solidFill>
            <a:ln w="12415">
              <a:solidFill>
                <a:srgbClr val="000000"/>
              </a:solidFill>
              <a:prstDash val="solid"/>
            </a:ln>
          </c:spPr>
          <c:invertIfNegative val="0"/>
          <c:dLbls>
            <c:spPr>
              <a:solidFill>
                <a:srgbClr val="FFFFFF"/>
              </a:solidFill>
              <a:ln w="24830">
                <a:noFill/>
              </a:ln>
            </c:spPr>
            <c:txPr>
              <a:bodyPr/>
              <a:lstStyle/>
              <a:p>
                <a:pPr>
                  <a:defRPr sz="105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0.02</c:v>
                </c:pt>
              </c:numCache>
            </c:numRef>
          </c:val>
        </c:ser>
        <c:dLbls>
          <c:showLegendKey val="0"/>
          <c:showVal val="1"/>
          <c:showCatName val="0"/>
          <c:showSerName val="0"/>
          <c:showPercent val="0"/>
          <c:showBubbleSize val="0"/>
        </c:dLbls>
        <c:gapWidth val="150"/>
        <c:shape val="box"/>
        <c:axId val="265220096"/>
        <c:axId val="247892224"/>
        <c:axId val="0"/>
      </c:bar3DChart>
      <c:catAx>
        <c:axId val="265220096"/>
        <c:scaling>
          <c:orientation val="minMax"/>
        </c:scaling>
        <c:delete val="1"/>
        <c:axPos val="b"/>
        <c:majorTickMark val="out"/>
        <c:minorTickMark val="none"/>
        <c:tickLblPos val="nextTo"/>
        <c:crossAx val="247892224"/>
        <c:crosses val="autoZero"/>
        <c:auto val="1"/>
        <c:lblAlgn val="ctr"/>
        <c:lblOffset val="100"/>
        <c:noMultiLvlLbl val="0"/>
      </c:catAx>
      <c:valAx>
        <c:axId val="247892224"/>
        <c:scaling>
          <c:orientation val="minMax"/>
        </c:scaling>
        <c:delete val="0"/>
        <c:axPos val="l"/>
        <c:majorGridlines>
          <c:spPr>
            <a:ln w="3104">
              <a:solidFill>
                <a:srgbClr val="000000"/>
              </a:solidFill>
              <a:prstDash val="solid"/>
            </a:ln>
          </c:spPr>
        </c:majorGridlines>
        <c:numFmt formatCode="0%" sourceLinked="1"/>
        <c:majorTickMark val="out"/>
        <c:minorTickMark val="none"/>
        <c:tickLblPos val="nextTo"/>
        <c:spPr>
          <a:ln w="3104">
            <a:solidFill>
              <a:srgbClr val="000000"/>
            </a:solidFill>
            <a:prstDash val="solid"/>
          </a:ln>
        </c:spPr>
        <c:txPr>
          <a:bodyPr rot="0" vert="horz"/>
          <a:lstStyle/>
          <a:p>
            <a:pPr>
              <a:defRPr sz="1051" b="0" i="0" u="none" strike="noStrike" baseline="0">
                <a:solidFill>
                  <a:srgbClr val="000000"/>
                </a:solidFill>
                <a:latin typeface="Arial"/>
                <a:ea typeface="Arial"/>
                <a:cs typeface="Arial"/>
              </a:defRPr>
            </a:pPr>
            <a:endParaRPr lang="pl-PL"/>
          </a:p>
        </c:txPr>
        <c:crossAx val="265220096"/>
        <c:crosses val="autoZero"/>
        <c:crossBetween val="between"/>
      </c:valAx>
      <c:spPr>
        <a:solidFill>
          <a:srgbClr val="FFCC00"/>
        </a:solidFill>
        <a:ln w="24830">
          <a:noFill/>
        </a:ln>
      </c:spPr>
    </c:plotArea>
    <c:legend>
      <c:legendPos val="b"/>
      <c:layout>
        <c:manualLayout>
          <c:xMode val="edge"/>
          <c:yMode val="edge"/>
          <c:x val="4.9469964664310952E-2"/>
          <c:y val="0.84671532846715325"/>
          <c:w val="0.90282685512367489"/>
          <c:h val="0.15571776155717762"/>
        </c:manualLayout>
      </c:layout>
      <c:overlay val="0"/>
      <c:spPr>
        <a:solidFill>
          <a:srgbClr val="FFFFFF"/>
        </a:solidFill>
        <a:ln w="3104">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4">
      <a:solidFill>
        <a:srgbClr val="000000"/>
      </a:solidFill>
      <a:prstDash val="solid"/>
    </a:ln>
  </c:spPr>
  <c:txPr>
    <a:bodyPr/>
    <a:lstStyle/>
    <a:p>
      <a:pPr>
        <a:defRPr sz="1051" b="0" i="0" u="none" strike="noStrike" baseline="0">
          <a:solidFill>
            <a:srgbClr val="000000"/>
          </a:solidFill>
          <a:latin typeface="Arial"/>
          <a:ea typeface="Arial"/>
          <a:cs typeface="Arial"/>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6.7137809187279157E-2"/>
          <c:y val="2.3316062176165803E-2"/>
          <c:w val="0.89929328621908122"/>
          <c:h val="0.6606217616580311"/>
        </c:manualLayout>
      </c:layout>
      <c:bar3DChart>
        <c:barDir val="col"/>
        <c:grouping val="clustered"/>
        <c:varyColors val="0"/>
        <c:ser>
          <c:idx val="0"/>
          <c:order val="0"/>
          <c:tx>
            <c:strRef>
              <c:f>Arkusz1!$A$1</c:f>
              <c:strCache>
                <c:ptCount val="1"/>
                <c:pt idx="0">
                  <c:v>Dzieci z rodzin dysfunkcyjnych (alkoholizm, przemoc) - 56,0%</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0.56000000000000005</c:v>
                </c:pt>
              </c:numCache>
            </c:numRef>
          </c:val>
        </c:ser>
        <c:ser>
          <c:idx val="1"/>
          <c:order val="1"/>
          <c:tx>
            <c:strRef>
              <c:f>Arkusz1!$A$2</c:f>
              <c:strCache>
                <c:ptCount val="1"/>
                <c:pt idx="0">
                  <c:v>Dzieci z rodzin o wysokim statusie majatkowym i społecznym - 12,0%</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0.12</c:v>
                </c:pt>
              </c:numCache>
            </c:numRef>
          </c:val>
        </c:ser>
        <c:ser>
          <c:idx val="2"/>
          <c:order val="2"/>
          <c:tx>
            <c:strRef>
              <c:f>Arkusz1!$A$3</c:f>
              <c:strCache>
                <c:ptCount val="1"/>
                <c:pt idx="0">
                  <c:v>Pozostałych uczniów - 30,0%</c:v>
                </c:pt>
              </c:strCache>
            </c:strRef>
          </c:tx>
          <c:spPr>
            <a:solidFill>
              <a:srgbClr val="CCFFCC"/>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Problem ten dotyczy wielu uczniów, których trudno zakwalifikować do danej kategorii - 26,0%</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0.26</c:v>
                </c:pt>
              </c:numCache>
            </c:numRef>
          </c:val>
        </c:ser>
        <c:ser>
          <c:idx val="4"/>
          <c:order val="4"/>
          <c:tx>
            <c:strRef>
              <c:f>Arkusz1!$A$5</c:f>
              <c:strCache>
                <c:ptCount val="1"/>
                <c:pt idx="0">
                  <c:v>Trudno powiedzieć - 4,0%</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0.04</c:v>
                </c:pt>
              </c:numCache>
            </c:numRef>
          </c:val>
        </c:ser>
        <c:dLbls>
          <c:showLegendKey val="0"/>
          <c:showVal val="1"/>
          <c:showCatName val="0"/>
          <c:showSerName val="0"/>
          <c:showPercent val="0"/>
          <c:showBubbleSize val="0"/>
        </c:dLbls>
        <c:gapWidth val="150"/>
        <c:shape val="box"/>
        <c:axId val="265220608"/>
        <c:axId val="247893952"/>
        <c:axId val="0"/>
      </c:bar3DChart>
      <c:catAx>
        <c:axId val="265220608"/>
        <c:scaling>
          <c:orientation val="minMax"/>
        </c:scaling>
        <c:delete val="1"/>
        <c:axPos val="b"/>
        <c:majorTickMark val="out"/>
        <c:minorTickMark val="none"/>
        <c:tickLblPos val="nextTo"/>
        <c:crossAx val="247893952"/>
        <c:crosses val="autoZero"/>
        <c:auto val="1"/>
        <c:lblAlgn val="ctr"/>
        <c:lblOffset val="100"/>
        <c:noMultiLvlLbl val="0"/>
      </c:catAx>
      <c:valAx>
        <c:axId val="247893952"/>
        <c:scaling>
          <c:orientation val="minMax"/>
        </c:scaling>
        <c:delete val="0"/>
        <c:axPos val="l"/>
        <c:majorGridlines>
          <c:spPr>
            <a:ln w="3102">
              <a:solidFill>
                <a:srgbClr val="000000"/>
              </a:solidFill>
              <a:prstDash val="solid"/>
            </a:ln>
          </c:spPr>
        </c:majorGridlines>
        <c:numFmt formatCode="0%" sourceLinked="1"/>
        <c:majorTickMark val="out"/>
        <c:minorTickMark val="none"/>
        <c:tickLblPos val="nextTo"/>
        <c:spPr>
          <a:ln w="3102">
            <a:solidFill>
              <a:srgbClr val="000000"/>
            </a:solidFill>
            <a:prstDash val="solid"/>
          </a:ln>
        </c:spPr>
        <c:txPr>
          <a:bodyPr rot="0" vert="horz"/>
          <a:lstStyle/>
          <a:p>
            <a:pPr>
              <a:defRPr sz="782" b="0" i="0" u="none" strike="noStrike" baseline="0">
                <a:solidFill>
                  <a:srgbClr val="000000"/>
                </a:solidFill>
                <a:latin typeface="Arial"/>
                <a:ea typeface="Arial"/>
                <a:cs typeface="Arial"/>
              </a:defRPr>
            </a:pPr>
            <a:endParaRPr lang="pl-PL"/>
          </a:p>
        </c:txPr>
        <c:crossAx val="265220608"/>
        <c:crosses val="autoZero"/>
        <c:crossBetween val="between"/>
      </c:valAx>
      <c:spPr>
        <a:solidFill>
          <a:srgbClr val="FFCC00"/>
        </a:solidFill>
        <a:ln w="24814">
          <a:noFill/>
        </a:ln>
      </c:spPr>
    </c:plotArea>
    <c:legend>
      <c:legendPos val="b"/>
      <c:layout>
        <c:manualLayout>
          <c:xMode val="edge"/>
          <c:yMode val="edge"/>
          <c:x val="8.3038869257950523E-2"/>
          <c:y val="0.73834196891191706"/>
          <c:w val="0.83392226148409898"/>
          <c:h val="0.25388601036269431"/>
        </c:manualLayout>
      </c:layout>
      <c:overlay val="0"/>
      <c:spPr>
        <a:solidFill>
          <a:srgbClr val="FFFFFF"/>
        </a:solidFill>
        <a:ln w="3102">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837742504409167E-2"/>
          <c:y val="2.356020942408377E-2"/>
          <c:w val="0.88536155202821865"/>
          <c:h val="0.79319371727748689"/>
        </c:manualLayout>
      </c:layout>
      <c:bar3DChart>
        <c:barDir val="col"/>
        <c:grouping val="clustered"/>
        <c:varyColors val="0"/>
        <c:ser>
          <c:idx val="0"/>
          <c:order val="0"/>
          <c:tx>
            <c:strRef>
              <c:f>Arkusz1!$A$1</c:f>
              <c:strCache>
                <c:ptCount val="1"/>
                <c:pt idx="0">
                  <c:v>Tak - 22,0%%</c:v>
                </c:pt>
              </c:strCache>
            </c:strRef>
          </c:tx>
          <c:spPr>
            <a:solidFill>
              <a:srgbClr val="9999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0.22</c:v>
                </c:pt>
              </c:numCache>
            </c:numRef>
          </c:val>
        </c:ser>
        <c:ser>
          <c:idx val="1"/>
          <c:order val="1"/>
          <c:tx>
            <c:strRef>
              <c:f>Arkusz1!$A$2</c:f>
              <c:strCache>
                <c:ptCount val="1"/>
                <c:pt idx="0">
                  <c:v>Raczej tak - 30,0%%</c:v>
                </c:pt>
              </c:strCache>
            </c:strRef>
          </c:tx>
          <c:spPr>
            <a:solidFill>
              <a:srgbClr val="CCCC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0.3</c:v>
                </c:pt>
              </c:numCache>
            </c:numRef>
          </c:val>
        </c:ser>
        <c:ser>
          <c:idx val="2"/>
          <c:order val="2"/>
          <c:tx>
            <c:strRef>
              <c:f>Arkusz1!$A$3</c:f>
              <c:strCache>
                <c:ptCount val="1"/>
                <c:pt idx="0">
                  <c:v>Raczej nie - 26,0%</c:v>
                </c:pt>
              </c:strCache>
            </c:strRef>
          </c:tx>
          <c:spPr>
            <a:solidFill>
              <a:srgbClr val="FFCC99"/>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0.26</c:v>
                </c:pt>
              </c:numCache>
            </c:numRef>
          </c:val>
        </c:ser>
        <c:ser>
          <c:idx val="3"/>
          <c:order val="3"/>
          <c:tx>
            <c:strRef>
              <c:f>Arkusz1!$A$4</c:f>
              <c:strCache>
                <c:ptCount val="1"/>
                <c:pt idx="0">
                  <c:v>Nie - 18,0%</c:v>
                </c:pt>
              </c:strCache>
            </c:strRef>
          </c:tx>
          <c:spPr>
            <a:solidFill>
              <a:srgbClr val="CCFFFF"/>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0.18</c:v>
                </c:pt>
              </c:numCache>
            </c:numRef>
          </c:val>
        </c:ser>
        <c:ser>
          <c:idx val="4"/>
          <c:order val="4"/>
          <c:tx>
            <c:strRef>
              <c:f>Arkusz1!$A$5</c:f>
              <c:strCache>
                <c:ptCount val="1"/>
                <c:pt idx="0">
                  <c:v>Trudno powiedzieć - 4,0%</c:v>
                </c:pt>
              </c:strCache>
            </c:strRef>
          </c:tx>
          <c:spPr>
            <a:solidFill>
              <a:srgbClr val="FF8080"/>
            </a:solidFill>
            <a:ln w="12402">
              <a:solidFill>
                <a:srgbClr val="000000"/>
              </a:solidFill>
              <a:prstDash val="solid"/>
            </a:ln>
          </c:spPr>
          <c:invertIfNegative val="0"/>
          <c:dLbls>
            <c:spPr>
              <a:solidFill>
                <a:srgbClr val="FFFFFF"/>
              </a:solidFill>
              <a:ln w="24805">
                <a:noFill/>
              </a:ln>
            </c:spPr>
            <c:txPr>
              <a:bodyPr/>
              <a:lstStyle/>
              <a:p>
                <a:pPr>
                  <a:defRPr sz="977"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c:formatCode>
                <c:ptCount val="1"/>
                <c:pt idx="0">
                  <c:v>0.04</c:v>
                </c:pt>
              </c:numCache>
            </c:numRef>
          </c:val>
        </c:ser>
        <c:dLbls>
          <c:showLegendKey val="0"/>
          <c:showVal val="1"/>
          <c:showCatName val="0"/>
          <c:showSerName val="0"/>
          <c:showPercent val="0"/>
          <c:showBubbleSize val="0"/>
        </c:dLbls>
        <c:gapWidth val="150"/>
        <c:shape val="box"/>
        <c:axId val="265222656"/>
        <c:axId val="247895680"/>
        <c:axId val="0"/>
      </c:bar3DChart>
      <c:catAx>
        <c:axId val="265222656"/>
        <c:scaling>
          <c:orientation val="minMax"/>
        </c:scaling>
        <c:delete val="1"/>
        <c:axPos val="b"/>
        <c:majorTickMark val="out"/>
        <c:minorTickMark val="none"/>
        <c:tickLblPos val="nextTo"/>
        <c:crossAx val="247895680"/>
        <c:crosses val="autoZero"/>
        <c:auto val="1"/>
        <c:lblAlgn val="ctr"/>
        <c:lblOffset val="100"/>
        <c:noMultiLvlLbl val="0"/>
      </c:catAx>
      <c:valAx>
        <c:axId val="247895680"/>
        <c:scaling>
          <c:orientation val="minMax"/>
        </c:scaling>
        <c:delete val="0"/>
        <c:axPos val="l"/>
        <c:majorGridlines>
          <c:spPr>
            <a:ln w="3101">
              <a:solidFill>
                <a:srgbClr val="000000"/>
              </a:solidFill>
              <a:prstDash val="solid"/>
            </a:ln>
          </c:spPr>
        </c:majorGridlines>
        <c:numFmt formatCode="0%" sourceLinked="1"/>
        <c:majorTickMark val="out"/>
        <c:minorTickMark val="none"/>
        <c:tickLblPos val="nextTo"/>
        <c:spPr>
          <a:ln w="3101">
            <a:solidFill>
              <a:srgbClr val="000000"/>
            </a:solidFill>
            <a:prstDash val="solid"/>
          </a:ln>
        </c:spPr>
        <c:txPr>
          <a:bodyPr rot="0" vert="horz"/>
          <a:lstStyle/>
          <a:p>
            <a:pPr>
              <a:defRPr sz="977" b="0" i="0" u="none" strike="noStrike" baseline="0">
                <a:solidFill>
                  <a:srgbClr val="000000"/>
                </a:solidFill>
                <a:latin typeface="Arial"/>
                <a:ea typeface="Arial"/>
                <a:cs typeface="Arial"/>
              </a:defRPr>
            </a:pPr>
            <a:endParaRPr lang="pl-PL"/>
          </a:p>
        </c:txPr>
        <c:crossAx val="265222656"/>
        <c:crosses val="autoZero"/>
        <c:crossBetween val="between"/>
      </c:valAx>
      <c:spPr>
        <a:solidFill>
          <a:srgbClr val="FFCC00"/>
        </a:solidFill>
        <a:ln w="24805">
          <a:noFill/>
        </a:ln>
      </c:spPr>
    </c:plotArea>
    <c:legend>
      <c:legendPos val="b"/>
      <c:layout>
        <c:manualLayout>
          <c:xMode val="edge"/>
          <c:yMode val="edge"/>
          <c:x val="5.8201058201058198E-2"/>
          <c:y val="0.87434554973821987"/>
          <c:w val="0.88183421516754845"/>
          <c:h val="0.11780104712041885"/>
        </c:manualLayout>
      </c:layout>
      <c:overlay val="0"/>
      <c:spPr>
        <a:solidFill>
          <a:srgbClr val="FFFFFF"/>
        </a:solidFill>
        <a:ln w="3101">
          <a:solidFill>
            <a:srgbClr val="000000"/>
          </a:solidFill>
          <a:prstDash val="solid"/>
        </a:ln>
      </c:spPr>
      <c:txPr>
        <a:bodyPr/>
        <a:lstStyle/>
        <a:p>
          <a:pPr>
            <a:defRPr sz="89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1">
      <a:solidFill>
        <a:srgbClr val="000000"/>
      </a:solidFill>
      <a:prstDash val="solid"/>
    </a:ln>
  </c:spPr>
  <c:txPr>
    <a:bodyPr/>
    <a:lstStyle/>
    <a:p>
      <a:pPr>
        <a:defRPr sz="977" b="0" i="0" u="none" strike="noStrike" baseline="0">
          <a:solidFill>
            <a:srgbClr val="000000"/>
          </a:solidFill>
          <a:latin typeface="Arial"/>
          <a:ea typeface="Arial"/>
          <a:cs typeface="Arial"/>
        </a:defRPr>
      </a:pPr>
      <a:endParaRPr lang="pl-P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
          <c:y val="2.2556390977443608E-2"/>
          <c:w val="0.85925925925925928"/>
          <c:h val="0.76691729323308266"/>
        </c:manualLayout>
      </c:layout>
      <c:bar3DChart>
        <c:barDir val="col"/>
        <c:grouping val="clustered"/>
        <c:varyColors val="0"/>
        <c:ser>
          <c:idx val="0"/>
          <c:order val="0"/>
          <c:tx>
            <c:strRef>
              <c:f>Arkusz1!$A$1</c:f>
              <c:strCache>
                <c:ptCount val="1"/>
                <c:pt idx="0">
                  <c:v>Nieodpowiednie zachowanie - 42,38%</c:v>
                </c:pt>
              </c:strCache>
            </c:strRef>
          </c:tx>
          <c:spPr>
            <a:solidFill>
              <a:srgbClr val="9999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0.00%</c:formatCode>
                <c:ptCount val="1"/>
                <c:pt idx="0">
                  <c:v>0.42380000000000001</c:v>
                </c:pt>
              </c:numCache>
            </c:numRef>
          </c:val>
        </c:ser>
        <c:ser>
          <c:idx val="1"/>
          <c:order val="1"/>
          <c:tx>
            <c:strRef>
              <c:f>Arkusz1!$A$2</c:f>
              <c:strCache>
                <c:ptCount val="1"/>
                <c:pt idx="0">
                  <c:v>Lekceważenie obowiązków szkolnych - 23,17%</c:v>
                </c:pt>
              </c:strCache>
            </c:strRef>
          </c:tx>
          <c:spPr>
            <a:solidFill>
              <a:srgbClr val="9933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0.00%</c:formatCode>
                <c:ptCount val="1"/>
                <c:pt idx="0">
                  <c:v>0.23169999999999999</c:v>
                </c:pt>
              </c:numCache>
            </c:numRef>
          </c:val>
        </c:ser>
        <c:ser>
          <c:idx val="2"/>
          <c:order val="2"/>
          <c:tx>
            <c:strRef>
              <c:f>Arkusz1!$A$3</c:f>
              <c:strCache>
                <c:ptCount val="1"/>
                <c:pt idx="0">
                  <c:v>Niechęć do nauki - 14,45%</c:v>
                </c:pt>
              </c:strCache>
            </c:strRef>
          </c:tx>
          <c:spPr>
            <a:solidFill>
              <a:srgbClr val="FFFFCC"/>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0.00%</c:formatCode>
                <c:ptCount val="1"/>
                <c:pt idx="0">
                  <c:v>0.14449999999999999</c:v>
                </c:pt>
              </c:numCache>
            </c:numRef>
          </c:val>
        </c:ser>
        <c:ser>
          <c:idx val="3"/>
          <c:order val="3"/>
          <c:tx>
            <c:strRef>
              <c:f>Arkusz1!$A$4</c:f>
              <c:strCache>
                <c:ptCount val="1"/>
                <c:pt idx="0">
                  <c:v>Nadmierne opuszczanie zajęć - 10,29%</c:v>
                </c:pt>
              </c:strCache>
            </c:strRef>
          </c:tx>
          <c:spPr>
            <a:solidFill>
              <a:srgbClr val="CCFFFF"/>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0.00%</c:formatCode>
                <c:ptCount val="1"/>
                <c:pt idx="0">
                  <c:v>0.10290000000000001</c:v>
                </c:pt>
              </c:numCache>
            </c:numRef>
          </c:val>
        </c:ser>
        <c:ser>
          <c:idx val="4"/>
          <c:order val="4"/>
          <c:tx>
            <c:strRef>
              <c:f>Arkusz1!$A$5</c:f>
              <c:strCache>
                <c:ptCount val="1"/>
                <c:pt idx="0">
                  <c:v>Zły wpływ na zespół klasowy - 7,08%</c:v>
                </c:pt>
              </c:strCache>
            </c:strRef>
          </c:tx>
          <c:spPr>
            <a:solidFill>
              <a:srgbClr val="660066"/>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Arkusz1!$B$5</c:f>
              <c:numCache>
                <c:formatCode>0.00%</c:formatCode>
                <c:ptCount val="1"/>
                <c:pt idx="0">
                  <c:v>7.0800000000000002E-2</c:v>
                </c:pt>
              </c:numCache>
            </c:numRef>
          </c:val>
        </c:ser>
        <c:ser>
          <c:idx val="5"/>
          <c:order val="5"/>
          <c:tx>
            <c:strRef>
              <c:f>Arkusz1!$A$6</c:f>
              <c:strCache>
                <c:ptCount val="1"/>
                <c:pt idx="0">
                  <c:v>Trudno powiedzieć - 2,63%</c:v>
                </c:pt>
              </c:strCache>
            </c:strRef>
          </c:tx>
          <c:spPr>
            <a:solidFill>
              <a:srgbClr val="FF8080"/>
            </a:solidFill>
            <a:ln w="12407">
              <a:solidFill>
                <a:srgbClr val="000000"/>
              </a:solidFill>
              <a:prstDash val="solid"/>
            </a:ln>
          </c:spPr>
          <c:invertIfNegative val="0"/>
          <c:dLbls>
            <c:spPr>
              <a:solidFill>
                <a:srgbClr val="FFFFFF"/>
              </a:solidFill>
              <a:ln w="24814">
                <a:noFill/>
              </a:ln>
            </c:spPr>
            <c:txPr>
              <a:bodyPr/>
              <a:lstStyle/>
              <a:p>
                <a:pPr>
                  <a:defRPr sz="806"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Arkusz1!$B$6</c:f>
              <c:numCache>
                <c:formatCode>0.00%</c:formatCode>
                <c:ptCount val="1"/>
                <c:pt idx="0">
                  <c:v>2.63E-2</c:v>
                </c:pt>
              </c:numCache>
            </c:numRef>
          </c:val>
        </c:ser>
        <c:dLbls>
          <c:showLegendKey val="0"/>
          <c:showVal val="1"/>
          <c:showCatName val="0"/>
          <c:showSerName val="0"/>
          <c:showPercent val="0"/>
          <c:showBubbleSize val="0"/>
        </c:dLbls>
        <c:gapWidth val="150"/>
        <c:shape val="box"/>
        <c:axId val="265223168"/>
        <c:axId val="257474560"/>
        <c:axId val="0"/>
      </c:bar3DChart>
      <c:catAx>
        <c:axId val="265223168"/>
        <c:scaling>
          <c:orientation val="minMax"/>
        </c:scaling>
        <c:delete val="1"/>
        <c:axPos val="b"/>
        <c:majorTickMark val="out"/>
        <c:minorTickMark val="none"/>
        <c:tickLblPos val="nextTo"/>
        <c:crossAx val="257474560"/>
        <c:crosses val="autoZero"/>
        <c:auto val="1"/>
        <c:lblAlgn val="ctr"/>
        <c:lblOffset val="100"/>
        <c:noMultiLvlLbl val="0"/>
      </c:catAx>
      <c:valAx>
        <c:axId val="257474560"/>
        <c:scaling>
          <c:orientation val="minMax"/>
        </c:scaling>
        <c:delete val="0"/>
        <c:axPos val="l"/>
        <c:majorGridlines>
          <c:spPr>
            <a:ln w="3102">
              <a:solidFill>
                <a:srgbClr val="000000"/>
              </a:solidFill>
              <a:prstDash val="solid"/>
            </a:ln>
          </c:spPr>
        </c:majorGridlines>
        <c:numFmt formatCode="0.00%" sourceLinked="1"/>
        <c:majorTickMark val="out"/>
        <c:minorTickMark val="none"/>
        <c:tickLblPos val="nextTo"/>
        <c:spPr>
          <a:ln w="3102">
            <a:solidFill>
              <a:srgbClr val="000000"/>
            </a:solidFill>
            <a:prstDash val="solid"/>
          </a:ln>
        </c:spPr>
        <c:txPr>
          <a:bodyPr rot="0" vert="horz"/>
          <a:lstStyle/>
          <a:p>
            <a:pPr>
              <a:defRPr sz="806" b="0" i="0" u="none" strike="noStrike" baseline="0">
                <a:solidFill>
                  <a:srgbClr val="000000"/>
                </a:solidFill>
                <a:latin typeface="Arial"/>
                <a:ea typeface="Arial"/>
                <a:cs typeface="Arial"/>
              </a:defRPr>
            </a:pPr>
            <a:endParaRPr lang="pl-PL"/>
          </a:p>
        </c:txPr>
        <c:crossAx val="265223168"/>
        <c:crosses val="autoZero"/>
        <c:crossBetween val="between"/>
      </c:valAx>
      <c:spPr>
        <a:solidFill>
          <a:srgbClr val="FFCC00"/>
        </a:solidFill>
        <a:ln w="24814">
          <a:noFill/>
        </a:ln>
      </c:spPr>
    </c:plotArea>
    <c:legend>
      <c:legendPos val="b"/>
      <c:layout>
        <c:manualLayout>
          <c:xMode val="edge"/>
          <c:yMode val="edge"/>
          <c:x val="3.3333333333333333E-2"/>
          <c:y val="0.84210526315789469"/>
          <c:w val="0.93333333333333335"/>
          <c:h val="0.15037593984962405"/>
        </c:manualLayout>
      </c:layout>
      <c:overlay val="0"/>
      <c:spPr>
        <a:solidFill>
          <a:srgbClr val="FFFFFF"/>
        </a:solidFill>
        <a:ln w="3102">
          <a:solidFill>
            <a:srgbClr val="000000"/>
          </a:solidFill>
          <a:prstDash val="solid"/>
        </a:ln>
      </c:spPr>
      <c:txPr>
        <a:bodyPr/>
        <a:lstStyle/>
        <a:p>
          <a:pPr>
            <a:defRPr sz="738"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2">
      <a:solidFill>
        <a:srgbClr val="000000"/>
      </a:solidFill>
      <a:prstDash val="solid"/>
    </a:ln>
  </c:spPr>
  <c:txPr>
    <a:bodyPr/>
    <a:lstStyle/>
    <a:p>
      <a:pPr>
        <a:defRPr sz="806"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30</Pages>
  <Words>6393</Words>
  <Characters>38361</Characters>
  <Application>Microsoft Office Word</Application>
  <DocSecurity>0</DocSecurity>
  <Lines>319</Lines>
  <Paragraphs>89</Paragraphs>
  <ScaleCrop>false</ScaleCrop>
  <Company/>
  <LinksUpToDate>false</LinksUpToDate>
  <CharactersWithSpaces>44665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62</cp:revision>
  <dcterms:created xsi:type="dcterms:W3CDTF">2016-10-21T18:58:00Z</dcterms:created>
  <dcterms:modified xsi:type="dcterms:W3CDTF">2016-10-21T20:05:00Z</dcterms:modified>
</cp:coreProperties>
</file>