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1BD" w:rsidRDefault="00C271BD" w:rsidP="00C271BD">
      <w:pPr>
        <w:pStyle w:val="Akapitzlist"/>
        <w:numPr>
          <w:ilvl w:val="0"/>
          <w:numId w:val="3"/>
        </w:numPr>
        <w:spacing w:line="240" w:lineRule="auto"/>
        <w:ind w:left="714" w:hanging="357"/>
        <w:jc w:val="both"/>
        <w:rPr>
          <w:rFonts w:cs="Times New Roman"/>
          <w:i/>
          <w:color w:val="FF0000"/>
          <w:sz w:val="20"/>
          <w:szCs w:val="20"/>
        </w:rPr>
      </w:pPr>
      <w:r>
        <w:rPr>
          <w:rFonts w:cs="Times New Roman"/>
          <w:i/>
          <w:color w:val="FF0000"/>
          <w:sz w:val="20"/>
          <w:szCs w:val="20"/>
        </w:rPr>
        <w:t>Analizę badań proszę podzielić na paragrafy (najlepiej odpowiadające poszczególnym hipotezom) – podział ten umieścić również w spisie treści</w:t>
      </w:r>
    </w:p>
    <w:p w:rsidR="00675F13" w:rsidRDefault="00675F13" w:rsidP="00C271BD">
      <w:pPr>
        <w:pStyle w:val="Akapitzlist"/>
        <w:numPr>
          <w:ilvl w:val="0"/>
          <w:numId w:val="3"/>
        </w:numPr>
        <w:spacing w:line="240" w:lineRule="auto"/>
        <w:ind w:left="714" w:hanging="357"/>
        <w:jc w:val="both"/>
        <w:rPr>
          <w:rFonts w:cs="Times New Roman"/>
          <w:i/>
          <w:color w:val="FF0000"/>
          <w:sz w:val="20"/>
          <w:szCs w:val="20"/>
        </w:rPr>
      </w:pPr>
      <w:bookmarkStart w:id="0" w:name="_GoBack"/>
      <w:r w:rsidRPr="00675F13">
        <w:rPr>
          <w:rFonts w:cs="Times New Roman"/>
          <w:i/>
          <w:color w:val="FF0000"/>
          <w:sz w:val="20"/>
          <w:szCs w:val="20"/>
        </w:rPr>
        <w:t>- wszystkie schematy</w:t>
      </w:r>
      <w:r>
        <w:rPr>
          <w:rFonts w:cs="Times New Roman"/>
          <w:i/>
          <w:color w:val="FF0000"/>
          <w:sz w:val="20"/>
          <w:szCs w:val="20"/>
        </w:rPr>
        <w:t xml:space="preserve">, wykresy </w:t>
      </w:r>
      <w:r w:rsidRPr="00675F13">
        <w:rPr>
          <w:rFonts w:cs="Times New Roman"/>
          <w:i/>
          <w:color w:val="FF0000"/>
          <w:sz w:val="20"/>
          <w:szCs w:val="20"/>
        </w:rPr>
        <w:t>ujednolicić do tej samej wielkości (umieścić je w ramkach)</w:t>
      </w:r>
    </w:p>
    <w:bookmarkEnd w:id="0"/>
    <w:p w:rsidR="00C271BD" w:rsidRDefault="00C271BD" w:rsidP="00C271BD">
      <w:pPr>
        <w:pStyle w:val="Akapitzlist"/>
        <w:numPr>
          <w:ilvl w:val="0"/>
          <w:numId w:val="3"/>
        </w:numPr>
        <w:spacing w:line="240" w:lineRule="auto"/>
        <w:ind w:left="714" w:hanging="357"/>
        <w:jc w:val="both"/>
        <w:rPr>
          <w:rFonts w:cs="Times New Roman"/>
          <w:i/>
          <w:color w:val="FF0000"/>
          <w:sz w:val="20"/>
          <w:szCs w:val="20"/>
        </w:rPr>
      </w:pPr>
      <w:r>
        <w:rPr>
          <w:rFonts w:cs="Times New Roman"/>
          <w:i/>
          <w:color w:val="FF0000"/>
          <w:sz w:val="20"/>
          <w:szCs w:val="20"/>
        </w:rPr>
        <w:t xml:space="preserve">Ostatni paragraf tego rozdziału to: Wnioski z badań – gdzie trzeba podsumować badania i </w:t>
      </w:r>
      <w:r>
        <w:rPr>
          <w:rFonts w:cs="Times New Roman"/>
          <w:i/>
          <w:color w:val="FF0000"/>
          <w:sz w:val="20"/>
          <w:szCs w:val="20"/>
          <w:u w:val="single"/>
        </w:rPr>
        <w:t>zweryfikować poszczególne hipotezy</w:t>
      </w:r>
      <w:r>
        <w:rPr>
          <w:rFonts w:cs="Times New Roman"/>
          <w:i/>
          <w:color w:val="FF0000"/>
          <w:sz w:val="20"/>
          <w:szCs w:val="20"/>
        </w:rPr>
        <w:t xml:space="preserve"> (prezentowana forma jest przykładem), na koniec – po myślnikach napisać wnioski z badań</w:t>
      </w:r>
    </w:p>
    <w:p w:rsidR="00D01602" w:rsidRDefault="00D01602" w:rsidP="00130AAA">
      <w:pPr>
        <w:jc w:val="center"/>
        <w:rPr>
          <w:rFonts w:cs="Times New Roman"/>
          <w:b/>
          <w:sz w:val="36"/>
          <w:szCs w:val="36"/>
        </w:rPr>
      </w:pPr>
    </w:p>
    <w:p w:rsidR="00A24847" w:rsidRPr="00130AAA" w:rsidRDefault="00A24847" w:rsidP="00130AAA">
      <w:pPr>
        <w:jc w:val="center"/>
        <w:rPr>
          <w:rFonts w:cs="Times New Roman"/>
          <w:b/>
          <w:sz w:val="36"/>
          <w:szCs w:val="36"/>
        </w:rPr>
      </w:pPr>
      <w:r w:rsidRPr="00130AAA">
        <w:rPr>
          <w:rFonts w:cs="Times New Roman"/>
          <w:b/>
          <w:sz w:val="36"/>
          <w:szCs w:val="36"/>
        </w:rPr>
        <w:t>ROZDZIAŁ IV</w:t>
      </w:r>
    </w:p>
    <w:p w:rsidR="001B1823" w:rsidRPr="00130AAA" w:rsidRDefault="001B1823" w:rsidP="00130AAA">
      <w:pPr>
        <w:jc w:val="center"/>
        <w:rPr>
          <w:rFonts w:cs="Times New Roman"/>
          <w:b/>
          <w:sz w:val="36"/>
          <w:szCs w:val="36"/>
        </w:rPr>
      </w:pPr>
    </w:p>
    <w:p w:rsidR="00A24847" w:rsidRDefault="00130AAA" w:rsidP="00130AAA">
      <w:pPr>
        <w:jc w:val="center"/>
        <w:rPr>
          <w:rFonts w:cs="Times New Roman"/>
          <w:b/>
          <w:sz w:val="36"/>
          <w:szCs w:val="36"/>
        </w:rPr>
      </w:pPr>
      <w:r w:rsidRPr="00130AAA">
        <w:rPr>
          <w:rFonts w:cs="Times New Roman"/>
          <w:b/>
          <w:sz w:val="36"/>
          <w:szCs w:val="36"/>
        </w:rPr>
        <w:t>ANALIZA BADAŃ WŁASNYCH</w:t>
      </w:r>
    </w:p>
    <w:p w:rsidR="00130AAA" w:rsidRPr="00130AAA" w:rsidRDefault="00130AAA" w:rsidP="00130AAA">
      <w:pPr>
        <w:jc w:val="center"/>
        <w:rPr>
          <w:rFonts w:cs="Times New Roman"/>
          <w:b/>
          <w:sz w:val="36"/>
          <w:szCs w:val="36"/>
        </w:rPr>
      </w:pPr>
    </w:p>
    <w:p w:rsidR="00A24847" w:rsidRPr="00A24847" w:rsidRDefault="00A24847" w:rsidP="00A24847">
      <w:pPr>
        <w:rPr>
          <w:rFonts w:cs="Times New Roman"/>
          <w:szCs w:val="24"/>
        </w:rPr>
      </w:pPr>
    </w:p>
    <w:p w:rsidR="00A24847" w:rsidRPr="00A24847" w:rsidRDefault="00A24847" w:rsidP="00A24847">
      <w:pPr>
        <w:jc w:val="both"/>
        <w:rPr>
          <w:rFonts w:cs="Times New Roman"/>
          <w:szCs w:val="24"/>
        </w:rPr>
      </w:pPr>
      <w:r w:rsidRPr="00A24847">
        <w:rPr>
          <w:rFonts w:cs="Times New Roman"/>
          <w:szCs w:val="24"/>
        </w:rPr>
        <w:tab/>
        <w:t xml:space="preserve">Skrajną formą aspołeczności dzieci z rodzin patologicznych jest wykazywanie braku chęci do współpracy, nieufność, poczucie wrogiego stosunku otoczenia do siebie, kłamliwość bez skrupułów, obciążanie innych skutkami swego postępowania, lekkomyślność, brak krytycyzmu wobec siebie, wobec swego zachowania                       i postępowania zagrażającego bezpieczeństwu innych, akceptowanie norm sprzecznych z obowiązującymi w otoczeniu, brak uznania do jakichkolwiek autorytetów. Ustalenie przyczyn bierności i poznanie warunków społecznych uczniów, powinno stać się podstawą działania profilaktycznego. </w:t>
      </w:r>
    </w:p>
    <w:p w:rsidR="00A24847" w:rsidRPr="00A24847" w:rsidRDefault="00A24847" w:rsidP="001B1823">
      <w:pPr>
        <w:ind w:firstLine="708"/>
        <w:jc w:val="both"/>
        <w:rPr>
          <w:rFonts w:cs="Times New Roman"/>
          <w:szCs w:val="24"/>
        </w:rPr>
      </w:pPr>
      <w:r w:rsidRPr="00A24847">
        <w:rPr>
          <w:rFonts w:cs="Times New Roman"/>
          <w:szCs w:val="24"/>
        </w:rPr>
        <w:t>Profilaktyka jest zdecydowanie efektywniejsza. Jest nią cały skomplikowany system zabiegów terapeutycznych, indywidualnych i zbiorowych. Poza tym jest łatwiejsza w prowadzeniu, gdyż zezwala na uchwycenie zjaw</w:t>
      </w:r>
      <w:r w:rsidR="001B1823">
        <w:rPr>
          <w:rFonts w:cs="Times New Roman"/>
          <w:szCs w:val="24"/>
        </w:rPr>
        <w:t xml:space="preserve">iska w jego początkowym stadium </w:t>
      </w:r>
      <w:r w:rsidRPr="00A24847">
        <w:rPr>
          <w:rFonts w:cs="Times New Roman"/>
          <w:szCs w:val="24"/>
        </w:rPr>
        <w:t>i zapobiega jego rozszerzeniu, nie dopuszczając do powstawania szkód społecznych.</w:t>
      </w:r>
      <w:r w:rsidRPr="00A24847">
        <w:t xml:space="preserve"> </w:t>
      </w:r>
      <w:r w:rsidRPr="00A24847">
        <w:rPr>
          <w:rFonts w:cs="Times New Roman"/>
          <w:szCs w:val="24"/>
        </w:rPr>
        <w:t>Rozwinięta i dobrze realizowana profilaktyka społeczna powinna redukować przypadki niedostosowania społecznego, wykolejeń, patologii społecznej. Powinna uprzedzać stany zagrożenia moralnego, zdrowotnego, kulturalnego, społecznego, aby uchronić jednostki i grupy danej populacji przed niepożądanymi odchyleniami od stanów normalnych.. Całokształt sytuacji życiowej dziecka ma wpływ na skuteczność powodzenia. Ma to swoje odzwierciedlenie w nauce, co uwidacznia się w trudnościach lub w skrajnie wybitnych zdolnościach.</w:t>
      </w:r>
    </w:p>
    <w:p w:rsidR="00A24847" w:rsidRPr="00A24847" w:rsidRDefault="00A24847" w:rsidP="00A24847">
      <w:pPr>
        <w:jc w:val="both"/>
        <w:rPr>
          <w:rFonts w:cs="Times New Roman"/>
          <w:szCs w:val="24"/>
        </w:rPr>
      </w:pPr>
      <w:r w:rsidRPr="00A24847">
        <w:rPr>
          <w:rFonts w:cs="Times New Roman"/>
          <w:szCs w:val="24"/>
        </w:rPr>
        <w:tab/>
        <w:t xml:space="preserve">Z analizy wykresu 2 wynika, że 42% z ogółu badanej zbiorowości uczniów powtarzało klasy, z tego 25% w szkole podstawowej a 17% w gimnazjum. Pozostały odsetek uczniów to uczniowie przeciętni. Dwóch uczniów uczęszczających do trzeciej </w:t>
      </w:r>
      <w:r w:rsidRPr="00A24847">
        <w:rPr>
          <w:rFonts w:cs="Times New Roman"/>
          <w:szCs w:val="24"/>
        </w:rPr>
        <w:lastRenderedPageBreak/>
        <w:t>klasy gimnazjum to uczniowie bardzo dobrzy. Spośród uczniów, którzy powtarzali klasę większość miała problem z matematyką i przyrodą (86%) natomiast tylko 14%   ze wszystkimi przedmiotami.</w:t>
      </w: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i/>
          <w:szCs w:val="24"/>
        </w:rPr>
      </w:pPr>
    </w:p>
    <w:p w:rsidR="00A24847" w:rsidRPr="00A24847" w:rsidRDefault="00A24847" w:rsidP="00A24847">
      <w:pPr>
        <w:jc w:val="center"/>
        <w:rPr>
          <w:rFonts w:cs="Times New Roman"/>
          <w:i/>
          <w:szCs w:val="24"/>
        </w:rPr>
      </w:pPr>
      <w:r w:rsidRPr="00A24847">
        <w:rPr>
          <w:rFonts w:cs="Times New Roman"/>
          <w:i/>
          <w:szCs w:val="24"/>
        </w:rPr>
        <w:t>Wykres 2. Badania zbiorowości pod względem powtarzania klas.</w:t>
      </w:r>
    </w:p>
    <w:p w:rsidR="00A24847" w:rsidRPr="00A24847" w:rsidRDefault="00A24847" w:rsidP="00A24847">
      <w:pPr>
        <w:jc w:val="both"/>
        <w:rPr>
          <w:rFonts w:cs="Times New Roman"/>
          <w:szCs w:val="24"/>
        </w:rPr>
      </w:pPr>
      <w:r w:rsidRPr="00A24847">
        <w:rPr>
          <w:noProof/>
          <w:lang w:eastAsia="pl-PL"/>
        </w:rPr>
        <w:drawing>
          <wp:inline distT="0" distB="0" distL="0" distR="0" wp14:anchorId="73148740" wp14:editId="7595903E">
            <wp:extent cx="5400675" cy="2952750"/>
            <wp:effectExtent l="0" t="0" r="9525" b="1905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ind w:firstLine="708"/>
        <w:jc w:val="both"/>
        <w:rPr>
          <w:rFonts w:cs="Times New Roman"/>
          <w:szCs w:val="24"/>
        </w:rPr>
      </w:pPr>
      <w:r w:rsidRPr="00A24847">
        <w:rPr>
          <w:rFonts w:cs="Times New Roman"/>
          <w:szCs w:val="24"/>
        </w:rPr>
        <w:t>Z analizy wykresu 3 wynika, że większość dzieci z rodzin patologicznych 34%, uzyskuje dostateczne postępy w nauce. Dobre wyniki osiąga 22% uczniów, dopuszczające 30% a bardzo dobre – 14%. Wynika z tego, że dzieci z rodzin patologicznych w badanym roku szkolnym nie osiągnęły wyników niedostatecznych lub celujących.</w:t>
      </w:r>
    </w:p>
    <w:p w:rsidR="00A24847" w:rsidRPr="00A24847" w:rsidRDefault="00A24847" w:rsidP="00A24847">
      <w:pPr>
        <w:ind w:firstLine="708"/>
        <w:jc w:val="both"/>
        <w:rPr>
          <w:rFonts w:cs="Times New Roman"/>
          <w:szCs w:val="24"/>
        </w:rPr>
      </w:pPr>
    </w:p>
    <w:p w:rsidR="00A24847" w:rsidRPr="00A24847" w:rsidRDefault="00A24847" w:rsidP="00A24847">
      <w:pPr>
        <w:jc w:val="center"/>
        <w:rPr>
          <w:rFonts w:cs="Times New Roman"/>
          <w:i/>
          <w:szCs w:val="24"/>
        </w:rPr>
      </w:pPr>
      <w:r w:rsidRPr="00A24847">
        <w:rPr>
          <w:rFonts w:cs="Times New Roman"/>
          <w:i/>
          <w:szCs w:val="24"/>
        </w:rPr>
        <w:t>Wykres 3. Ogólna ocena postępów w nauce badanej zbiorowości.</w:t>
      </w:r>
    </w:p>
    <w:p w:rsidR="00A24847" w:rsidRPr="00A24847" w:rsidRDefault="00A24847" w:rsidP="00A24847">
      <w:pPr>
        <w:jc w:val="both"/>
        <w:rPr>
          <w:rFonts w:cs="Times New Roman"/>
          <w:szCs w:val="24"/>
        </w:rPr>
      </w:pPr>
      <w:r w:rsidRPr="00A24847">
        <w:rPr>
          <w:noProof/>
          <w:lang w:eastAsia="pl-PL"/>
        </w:rPr>
        <w:lastRenderedPageBreak/>
        <w:drawing>
          <wp:inline distT="0" distB="0" distL="0" distR="0" wp14:anchorId="05CB8D3E" wp14:editId="6CF63A98">
            <wp:extent cx="5400675" cy="3124200"/>
            <wp:effectExtent l="0" t="0" r="9525" b="19050"/>
            <wp:docPr id="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ind w:firstLine="708"/>
        <w:jc w:val="both"/>
        <w:rPr>
          <w:rFonts w:cs="Times New Roman"/>
          <w:szCs w:val="24"/>
        </w:rPr>
      </w:pPr>
      <w:r w:rsidRPr="00A24847">
        <w:rPr>
          <w:rFonts w:cs="Times New Roman"/>
          <w:szCs w:val="24"/>
        </w:rPr>
        <w:t>Patologia rodziców szczególnie wyraźnie występuje w domach dzieci                 o względnie stałej postawie społecznej bierności. Stwierdzone anomalia życia rodzinnego dzieci biernych społecznie kumulują się. Dzieci takie w życiu szkolnym       i pozalekcyjnym, w kontaktach z innymi dziećmi charakteryzuje kompromisowość        i niezauważalność, a także towarzyszące temu objawy tj. nieśmiałości, cichość, mała aktywność, bezkonfliktowość.</w:t>
      </w:r>
    </w:p>
    <w:p w:rsidR="00A24847" w:rsidRPr="00A24847" w:rsidRDefault="00A24847" w:rsidP="00A24847">
      <w:pPr>
        <w:jc w:val="both"/>
        <w:rPr>
          <w:rFonts w:cs="Times New Roman"/>
          <w:szCs w:val="24"/>
        </w:rPr>
      </w:pPr>
      <w:r w:rsidRPr="00A24847">
        <w:rPr>
          <w:rFonts w:cs="Times New Roman"/>
          <w:szCs w:val="24"/>
        </w:rPr>
        <w:tab/>
        <w:t>Zachowanie demonstracyjno – bojowe dzieci z rodzin patologicznych wyraża się brakiem chęci do współpracy zarówno w grupie jak i przy zadaniach indywidualnych. Uczniowie tacy nie próbują szukać pomocy przy rozwiązywaniu napotykanych trudności, są bierni w stosunku do wszelkich form życia klasy, wykazują się niesubordynacją w stosunku do wychowawcy, oporem przy wykonywaniu poleceń        i lekceważeniem środowiska rówieśników.</w:t>
      </w:r>
    </w:p>
    <w:p w:rsidR="00A24847" w:rsidRPr="00A24847" w:rsidRDefault="00A24847" w:rsidP="00A24847">
      <w:pPr>
        <w:jc w:val="both"/>
        <w:rPr>
          <w:rFonts w:cs="Times New Roman"/>
          <w:szCs w:val="24"/>
        </w:rPr>
      </w:pPr>
      <w:r w:rsidRPr="00A24847">
        <w:rPr>
          <w:rFonts w:cs="Times New Roman"/>
          <w:szCs w:val="24"/>
        </w:rPr>
        <w:tab/>
        <w:t xml:space="preserve">Agresywna postawa wobec jakiejkolwiek interwencji, której celem jest poprawa złego zachowania, przyczynia się do popadania w konflikty z innymi dziećmi. Ten rodzaj społecznego niedostosowania wyraża się wrogością wobec dorosłych i dzieci. Dziecko może zacząć popełniać systematyczne akty przestępcze. Stosowanie nagan       i kar w stosunku do nich mija się z zamierzonym celem, gdyż wskutek ich stosowania dzieci uzewnętrzniają swoją wrogość.  </w:t>
      </w:r>
    </w:p>
    <w:p w:rsidR="00A24847" w:rsidRPr="00A24847" w:rsidRDefault="00A24847" w:rsidP="00A24847">
      <w:pPr>
        <w:ind w:firstLine="708"/>
        <w:jc w:val="both"/>
        <w:rPr>
          <w:rFonts w:cs="Times New Roman"/>
          <w:szCs w:val="24"/>
        </w:rPr>
      </w:pPr>
      <w:r w:rsidRPr="00A24847">
        <w:rPr>
          <w:rFonts w:cs="Times New Roman"/>
          <w:szCs w:val="24"/>
        </w:rPr>
        <w:t xml:space="preserve">Analiza badań wyników potwierdza w/w sugestie. Nadmierną ruchliwość nauczyciele wskazali u 12% badanych uczniów, ospałość i nieaktywność u 24% </w:t>
      </w:r>
      <w:r w:rsidRPr="00A24847">
        <w:rPr>
          <w:rFonts w:cs="Times New Roman"/>
          <w:szCs w:val="24"/>
        </w:rPr>
        <w:lastRenderedPageBreak/>
        <w:t>badanych, bierność u 32% badanych, zachowanie bardzo zahamowane u 22% badanych, nieśmiałość u 12% (Wykres 4).</w:t>
      </w:r>
    </w:p>
    <w:p w:rsidR="00A24847" w:rsidRPr="00A24847" w:rsidRDefault="00A24847" w:rsidP="00A24847">
      <w:pPr>
        <w:jc w:val="both"/>
        <w:rPr>
          <w:rFonts w:cs="Times New Roman"/>
          <w:szCs w:val="24"/>
        </w:rPr>
      </w:pPr>
      <w:r w:rsidRPr="00A24847">
        <w:rPr>
          <w:rFonts w:cs="Times New Roman"/>
          <w:szCs w:val="24"/>
        </w:rPr>
        <w:tab/>
        <w:t>W zależności od tego, czy rodzina jest pełna, czy rozbita, konfliktowa lub zgodnie żyjąca, oraz jakie metody wychowawcze stosowane są przez rodziców, wpływ rodziny na młodego człowieka może być negatywny lub pozytywny. Dziecko wynosi    z domu pewne modele zachowania, wzorce zgodnego współżycia, a także modele sytuacji konfliktowych działań aspołecznych. Zaburzenia życia emocjonalnego, powstałe pod wpływem surowego oddziaływania rodziców, najczęściej przenoszone zostają poza teren domu do szkoły, gdzie dezorganizują życie szkolne ucznia w zakresie życia społecznego.</w:t>
      </w: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i/>
          <w:szCs w:val="24"/>
        </w:rPr>
      </w:pPr>
    </w:p>
    <w:p w:rsidR="00A24847" w:rsidRPr="00A24847" w:rsidRDefault="00A24847" w:rsidP="00A24847">
      <w:pPr>
        <w:jc w:val="center"/>
        <w:rPr>
          <w:rFonts w:cs="Times New Roman"/>
          <w:i/>
          <w:szCs w:val="24"/>
        </w:rPr>
      </w:pPr>
      <w:r w:rsidRPr="00A24847">
        <w:rPr>
          <w:rFonts w:cs="Times New Roman"/>
          <w:i/>
          <w:szCs w:val="24"/>
        </w:rPr>
        <w:t>Wykres 4. Zachowania uczniów na lekcjach.</w:t>
      </w:r>
    </w:p>
    <w:p w:rsidR="00A24847" w:rsidRPr="00A24847" w:rsidRDefault="00A24847" w:rsidP="00A24847">
      <w:pPr>
        <w:jc w:val="both"/>
        <w:rPr>
          <w:rFonts w:cs="Times New Roman"/>
          <w:szCs w:val="24"/>
        </w:rPr>
      </w:pPr>
      <w:r w:rsidRPr="00A24847">
        <w:rPr>
          <w:noProof/>
          <w:lang w:eastAsia="pl-PL"/>
        </w:rPr>
        <w:drawing>
          <wp:inline distT="0" distB="0" distL="0" distR="0" wp14:anchorId="3D32C677" wp14:editId="5FF496A0">
            <wp:extent cx="5381625" cy="3200400"/>
            <wp:effectExtent l="0" t="0" r="9525" b="1905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jc w:val="both"/>
        <w:rPr>
          <w:rFonts w:cs="Times New Roman"/>
          <w:szCs w:val="24"/>
        </w:rPr>
      </w:pPr>
    </w:p>
    <w:p w:rsidR="00A24847" w:rsidRPr="00A24847" w:rsidRDefault="00A24847" w:rsidP="00A24847">
      <w:pPr>
        <w:ind w:firstLine="708"/>
        <w:jc w:val="both"/>
        <w:rPr>
          <w:rFonts w:cs="Times New Roman"/>
          <w:szCs w:val="24"/>
        </w:rPr>
      </w:pPr>
      <w:r w:rsidRPr="00A24847">
        <w:rPr>
          <w:rFonts w:cs="Times New Roman"/>
          <w:szCs w:val="24"/>
        </w:rPr>
        <w:t xml:space="preserve">Zachowania antyspołeczne we wszelkich ich przejawach i odmianach powstają          w ludzkich umysłach. Zadaniem rządów, systemów edukacyjnych powinno być zapobieganie im w obecnej rzeczywistości. Coraz bardziej pożądanym zjawiskiem skutecznego przezwyciężania ich negatywnych zjawisk oraz zapobieganie im nie może </w:t>
      </w:r>
      <w:r w:rsidRPr="00A24847">
        <w:rPr>
          <w:rFonts w:cs="Times New Roman"/>
          <w:szCs w:val="24"/>
        </w:rPr>
        <w:lastRenderedPageBreak/>
        <w:t>być likwidacją objawów. Zachowania te charakteryzują nie tylko obszar społeczności osób dorosłych, ale również w coraz większym stopniu młodzież szkolną, zmieniając nie tylko jej nastawienie do nauki, ale także do rówieśników, pracowników szkoły, szkolnego obowiązku.</w:t>
      </w:r>
    </w:p>
    <w:p w:rsidR="00A24847" w:rsidRPr="00A24847" w:rsidRDefault="00A24847" w:rsidP="00A24847">
      <w:pPr>
        <w:jc w:val="both"/>
        <w:rPr>
          <w:rFonts w:cs="Times New Roman"/>
          <w:szCs w:val="24"/>
        </w:rPr>
      </w:pPr>
      <w:r w:rsidRPr="00A24847">
        <w:rPr>
          <w:rFonts w:cs="Times New Roman"/>
          <w:szCs w:val="24"/>
        </w:rPr>
        <w:t>Przejawiające się wśród dzieci zachowania antyspołeczne mają negatywny wpływ       na rozwój kariery szkolnej i prawidłowe funkcjonowanie w danej społeczności. Najczęstszymi zjawiskami antyspołecznymi istniejącymi w szkołach są: chuligaństwo, alkoholizm, narkomania, kradzieże, wagary, niszczenie mienia.</w:t>
      </w:r>
    </w:p>
    <w:p w:rsidR="00A24847" w:rsidRPr="00A24847" w:rsidRDefault="00A24847" w:rsidP="00A24847">
      <w:pPr>
        <w:jc w:val="both"/>
        <w:rPr>
          <w:rFonts w:cs="Times New Roman"/>
          <w:szCs w:val="24"/>
        </w:rPr>
      </w:pPr>
      <w:r w:rsidRPr="00A24847">
        <w:rPr>
          <w:rFonts w:cs="Times New Roman"/>
          <w:szCs w:val="24"/>
        </w:rPr>
        <w:tab/>
        <w:t>Powyższe stwierdzenia potwierdzają wyniki badań przedstawione na wykresie nr 5. Najliczniejszymi wykroczeniami dzieci z rodzin patologicznych są wagary (76%). Ponadto 66% badanych pali papierosy, 32% pije alkohol a 12% chuligani. Jako rodzaju wykroczenia popełnianego przez młodych uczniów z rodzin patologicznych nie zarejestrowano kradzieży.</w:t>
      </w:r>
    </w:p>
    <w:p w:rsidR="00A24847" w:rsidRPr="00A24847" w:rsidRDefault="00A24847" w:rsidP="00A24847">
      <w:pPr>
        <w:rPr>
          <w:rFonts w:cs="Times New Roman"/>
          <w:i/>
          <w:szCs w:val="24"/>
        </w:rPr>
      </w:pPr>
    </w:p>
    <w:p w:rsidR="00A24847" w:rsidRPr="00A24847" w:rsidRDefault="00A24847" w:rsidP="00A24847">
      <w:pPr>
        <w:jc w:val="center"/>
        <w:rPr>
          <w:rFonts w:cs="Times New Roman"/>
          <w:i/>
          <w:szCs w:val="24"/>
        </w:rPr>
      </w:pPr>
      <w:r w:rsidRPr="00A24847">
        <w:rPr>
          <w:rFonts w:cs="Times New Roman"/>
          <w:i/>
          <w:szCs w:val="24"/>
        </w:rPr>
        <w:t>Wykres 5. Rodzaje wykroczeń popełnianych przez badanych uczniów.</w:t>
      </w:r>
    </w:p>
    <w:p w:rsidR="00A24847" w:rsidRPr="00A24847" w:rsidRDefault="00A24847" w:rsidP="00A24847">
      <w:pPr>
        <w:jc w:val="both"/>
        <w:rPr>
          <w:rFonts w:cs="Times New Roman"/>
          <w:szCs w:val="24"/>
        </w:rPr>
      </w:pPr>
      <w:r w:rsidRPr="00A24847">
        <w:rPr>
          <w:noProof/>
          <w:lang w:eastAsia="pl-PL"/>
        </w:rPr>
        <w:drawing>
          <wp:inline distT="0" distB="0" distL="0" distR="0" wp14:anchorId="45435855" wp14:editId="43A09769">
            <wp:extent cx="5391150" cy="3829050"/>
            <wp:effectExtent l="0" t="0" r="19050" b="1905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jc w:val="both"/>
        <w:rPr>
          <w:rFonts w:cs="Times New Roman"/>
          <w:szCs w:val="24"/>
        </w:rPr>
      </w:pPr>
    </w:p>
    <w:p w:rsidR="00A24847" w:rsidRPr="00A24847" w:rsidRDefault="00A24847" w:rsidP="00A24847">
      <w:pPr>
        <w:ind w:firstLine="708"/>
        <w:jc w:val="both"/>
        <w:rPr>
          <w:rFonts w:cs="Times New Roman"/>
          <w:szCs w:val="24"/>
        </w:rPr>
      </w:pPr>
      <w:r w:rsidRPr="00A24847">
        <w:rPr>
          <w:rFonts w:cs="Times New Roman"/>
          <w:szCs w:val="24"/>
        </w:rPr>
        <w:t xml:space="preserve">Z wywiadu z nauczycielami wynika, że większość uczniów pali nałogowo. Zastanawia fakt zdobywania pieniędzy na papierosy. Alkohol jest często bezpośrednią </w:t>
      </w:r>
      <w:r w:rsidRPr="00A24847">
        <w:rPr>
          <w:rFonts w:cs="Times New Roman"/>
          <w:szCs w:val="24"/>
        </w:rPr>
        <w:lastRenderedPageBreak/>
        <w:t>przyczyną konfliktów z otoczeniem, dokonywania przestępstw. Sporadyczne picie alkoholu i w niewielkich ilościach nie jest szkodliwe dla dorosłych, ale jest niebezpieczne dla dzieci i młodzieży. Dla młodego, rozwijającego się organizmu spożywanie alkoholu jest wręcz zabójcze, gdyż w krótkim czasie powoduje różnego rodzaju uszkodzenia organiczne, zaburzenia w sferze psychiki. Młodzież znacznie wcześniej niż osoby dorosłe uzależnia się od alkoholu, wynika to z mniejszej tolerancji młodego organizmu na alkohol. Na młodego człowieka szybciej wpływają nawet niewielkie ilości alkoholu, powodując jego upojenie i w konsekwencji upośledzenie kontroli nad własnym ciałem, problemy z mówieniem i logicznym myśleniem, ryzyko utraty przytomności a nawet zgon. Działanie alkoholu w organizmie zaczyna się już    po kilku minutach od jego spożycia. Alkohol dostaje się do krwiobiegu, a za jego pośrednictwem do mózgu. Pojawiają się najpierw pozytywne odczucia w postaci beztroski, rozluźnienia, dobrego humoru, a przytłumieniu ulegają negatywne emocje.  W miarę zwiększania się ilości alkoholu we krwi następuje głębsze jego wnikanie       do mózgu. U niektórych osób objawia się to sennością, u innych powoduje wzmożenie agresji, wdawanie się w konflikty, bójki. W momencie, gdy pewien poziom alkoholu we krwi zostanie przekroczony i osiągnie punkt krytyczny, część mózgu odpowiedzialna za oddychanie i pracę serca przestaje prawidłowo funkcjonować. Dochodzi do nieodwracalnego, ostrego zatrucia organizmu, czego następstwem może być niewydolność krążeniowo – oddechowa i w konsekwencji zgon. Częste spożywanie alkoholu prowadzi do zmian chorobowych i uszkodzeń różnych części organizmu. Następuje uszkodzenie naczyń krwionośnych w mózgu oraz wyniszczenie komórek nerwowych w korze mózgowej. Pojawia się nadciśnienie, niewydolność krążenia, arytmia, mięsień sercowy zostaje uszkodzony. Następują liczne zmiany chorobowe      w przewodzie pokarmowym: nieżyty przełyku, owrzodzenie żołądka i dwunastnicy, stany zapalne trzustki, nowotwory ust, języka, gardła. W stosunkowo krótkim czasie może dojść do marskości wątroby. W sferze psychicznej powstaje poczucie winy, depresja, utrata chęci do życia. Istnieje też stereotyp, że alkohol rozgrzewa – nic bardziej mylnego. Alkohol owszem rozgrzewa, ale tylko przez chwilę, natomiast później powoduje znacznie większe wyziębienie organizmu niż normalnie miałoby      to miejsce. Alkohol ogólnie obniża odporność organizmu na działanie różnych czynników.</w:t>
      </w:r>
    </w:p>
    <w:p w:rsidR="00A24847" w:rsidRPr="00A24847" w:rsidRDefault="00A24847" w:rsidP="00A24847">
      <w:pPr>
        <w:jc w:val="both"/>
        <w:rPr>
          <w:rFonts w:cs="Times New Roman"/>
          <w:szCs w:val="24"/>
        </w:rPr>
      </w:pPr>
      <w:r w:rsidRPr="00A24847">
        <w:rPr>
          <w:rFonts w:cs="Times New Roman"/>
          <w:szCs w:val="24"/>
        </w:rPr>
        <w:tab/>
        <w:t xml:space="preserve">Niektórzy z badanych uczniów z rodzin patologicznych kradną rodzicom pieniądze na papierosy i alkohol, niejednokrotnie jednak zabierają rodzicom z domu    </w:t>
      </w:r>
      <w:r w:rsidRPr="00A24847">
        <w:rPr>
          <w:rFonts w:cs="Times New Roman"/>
          <w:szCs w:val="24"/>
        </w:rPr>
        <w:lastRenderedPageBreak/>
        <w:t>te używki. Chuligaństwo dotyczy najczęściej dzieci 16 letnich wobec młodszych kolegów, choć nie jest to regułą, jak twierdzą nauczyciele. Polega często na dokuczaniu i dręczeniu młodszych kolegów.</w:t>
      </w:r>
    </w:p>
    <w:p w:rsidR="00A24847" w:rsidRPr="00A24847" w:rsidRDefault="00A24847" w:rsidP="00A24847">
      <w:pPr>
        <w:jc w:val="both"/>
        <w:rPr>
          <w:rFonts w:cs="Times New Roman"/>
          <w:szCs w:val="24"/>
        </w:rPr>
      </w:pPr>
      <w:r w:rsidRPr="00A24847">
        <w:rPr>
          <w:rFonts w:cs="Times New Roman"/>
          <w:szCs w:val="24"/>
        </w:rPr>
        <w:tab/>
        <w:t>Częstotliwość wagarowania uczniów z rodzin patologicznych przedstawiona jest       na wykresie 6. Wynika z niego, że 4% badanych wagaruje od jednego do czterech dni           w miesiącu, 35% ucieka z lekcji od jednego do czterech dni w semestrze, 10%             od jednego   do czterech dni w roku, 6% od jednego do ośmiu razy w miesiącu, a tylko 5% z osób wagarujących od jednego do czterech dni w tygodniu.</w:t>
      </w: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center"/>
        <w:rPr>
          <w:rFonts w:cs="Times New Roman"/>
          <w:i/>
          <w:szCs w:val="24"/>
        </w:rPr>
      </w:pPr>
      <w:r w:rsidRPr="00A24847">
        <w:rPr>
          <w:rFonts w:cs="Times New Roman"/>
          <w:i/>
          <w:szCs w:val="24"/>
        </w:rPr>
        <w:t>Wykres 6. Częstotliwość wagarowania.</w:t>
      </w:r>
    </w:p>
    <w:p w:rsidR="00A24847" w:rsidRPr="00A24847" w:rsidRDefault="00A24847" w:rsidP="00A24847">
      <w:pPr>
        <w:jc w:val="both"/>
        <w:rPr>
          <w:rFonts w:cs="Times New Roman"/>
          <w:szCs w:val="24"/>
        </w:rPr>
      </w:pPr>
      <w:r w:rsidRPr="00A24847">
        <w:rPr>
          <w:noProof/>
          <w:lang w:eastAsia="pl-PL"/>
        </w:rPr>
        <w:drawing>
          <wp:inline distT="0" distB="0" distL="0" distR="0" wp14:anchorId="02DD6B85" wp14:editId="03726EAA">
            <wp:extent cx="5438775" cy="2790825"/>
            <wp:effectExtent l="0" t="0" r="9525" b="9525"/>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jc w:val="both"/>
        <w:rPr>
          <w:rFonts w:cs="Times New Roman"/>
          <w:szCs w:val="24"/>
        </w:rPr>
      </w:pPr>
    </w:p>
    <w:p w:rsidR="00A24847" w:rsidRPr="00A24847" w:rsidRDefault="00A24847" w:rsidP="00A24847">
      <w:pPr>
        <w:ind w:firstLine="708"/>
        <w:jc w:val="both"/>
        <w:rPr>
          <w:rFonts w:cs="Times New Roman"/>
          <w:szCs w:val="24"/>
        </w:rPr>
      </w:pPr>
      <w:r w:rsidRPr="00A24847">
        <w:rPr>
          <w:rFonts w:cs="Times New Roman"/>
          <w:szCs w:val="24"/>
        </w:rPr>
        <w:t>Agresja w rodzinie patologicznej przejawiać się może na różne sposoby, które ogólnie można jednak sprowadzić do dwóch kategorii: agresji czynnej i biernej. Obie postacie agresji niosą w sobie jednakowy ładunek wrogości i są atakiem na człowieka, który jego zdaniem zasługuje na atak</w:t>
      </w:r>
      <w:r w:rsidRPr="00A24847">
        <w:rPr>
          <w:rFonts w:cs="Times New Roman"/>
          <w:szCs w:val="24"/>
          <w:vertAlign w:val="superscript"/>
        </w:rPr>
        <w:footnoteReference w:id="1"/>
      </w:r>
      <w:r w:rsidRPr="00A24847">
        <w:rPr>
          <w:rFonts w:cs="Times New Roman"/>
          <w:szCs w:val="24"/>
        </w:rPr>
        <w:t xml:space="preserve">. Czynną agresję łatwo zidentyfikować, ponieważ </w:t>
      </w:r>
      <w:r w:rsidRPr="00A24847">
        <w:rPr>
          <w:rFonts w:cs="Times New Roman"/>
          <w:szCs w:val="24"/>
        </w:rPr>
        <w:lastRenderedPageBreak/>
        <w:t>nie można jej ukryć i z reguły bywa głośna, a co najmniej widoczna. Jej zewnętrzne oznaki to krzyki, oskarżenia, złośliwości, szyderstwa, groźby i przemoc fizyczna. Naukowcy twierdzą, że czynna agresja jest p</w:t>
      </w:r>
      <w:r w:rsidR="006B4DC0">
        <w:rPr>
          <w:rFonts w:cs="Times New Roman"/>
          <w:szCs w:val="24"/>
        </w:rPr>
        <w:t xml:space="preserve">róbą ochrony samego siebie </w:t>
      </w:r>
      <w:r w:rsidRPr="00A24847">
        <w:rPr>
          <w:rFonts w:cs="Times New Roman"/>
          <w:szCs w:val="24"/>
        </w:rPr>
        <w:t>(w sensie poczucia własnej wartości, własnych potrzeb, przekonań czy stanu posiadania). Wyrasta ona często z głębokiego poczucia braku bezpieczeństwa. Agresja czynna jest równie często stosowana przez dzieci w szkole j</w:t>
      </w:r>
      <w:r w:rsidR="006B4DC0">
        <w:rPr>
          <w:rFonts w:cs="Times New Roman"/>
          <w:szCs w:val="24"/>
        </w:rPr>
        <w:t xml:space="preserve">ak i agresja bierna. </w:t>
      </w:r>
      <w:r w:rsidRPr="00A24847">
        <w:rPr>
          <w:rFonts w:cs="Times New Roman"/>
          <w:szCs w:val="24"/>
        </w:rPr>
        <w:t>Te dzieci, które się uciekają do agresji biernej zazwyczaj zaprzeczają, że czują gniew wobec drugiej osoby czy wobec samego siebie. Zamiast otwartej wojny wybierają partyzanckie pojazdy, sabotaż i ochłodzenie stosunków. Oto kilka form biernej agresji</w:t>
      </w:r>
      <w:r w:rsidRPr="00A24847">
        <w:rPr>
          <w:rFonts w:cs="Times New Roman"/>
          <w:szCs w:val="24"/>
          <w:vertAlign w:val="superscript"/>
        </w:rPr>
        <w:footnoteReference w:id="2"/>
      </w:r>
      <w:r w:rsidRPr="00A24847">
        <w:rPr>
          <w:rFonts w:cs="Times New Roman"/>
          <w:szCs w:val="24"/>
        </w:rPr>
        <w:t>:</w:t>
      </w:r>
    </w:p>
    <w:p w:rsidR="00A24847" w:rsidRPr="00A24847" w:rsidRDefault="00A24847" w:rsidP="00A24847">
      <w:pPr>
        <w:jc w:val="both"/>
        <w:rPr>
          <w:rFonts w:cs="Times New Roman"/>
          <w:szCs w:val="24"/>
        </w:rPr>
      </w:pPr>
      <w:r w:rsidRPr="00A24847">
        <w:rPr>
          <w:rFonts w:cs="Times New Roman"/>
          <w:szCs w:val="24"/>
        </w:rPr>
        <w:t>- Nie odzywanie się, naburmuszona mina, obrażanie się.</w:t>
      </w:r>
    </w:p>
    <w:p w:rsidR="00A24847" w:rsidRPr="00A24847" w:rsidRDefault="00A24847" w:rsidP="00A24847">
      <w:pPr>
        <w:jc w:val="both"/>
        <w:rPr>
          <w:rFonts w:cs="Times New Roman"/>
          <w:szCs w:val="24"/>
        </w:rPr>
      </w:pPr>
      <w:r w:rsidRPr="00A24847">
        <w:rPr>
          <w:rFonts w:cs="Times New Roman"/>
          <w:szCs w:val="24"/>
        </w:rPr>
        <w:t>- Tzw. techniki zwlekania: lenistwo, spóźnianie się.</w:t>
      </w:r>
    </w:p>
    <w:p w:rsidR="00A24847" w:rsidRPr="00A24847" w:rsidRDefault="00A24847" w:rsidP="00A24847">
      <w:pPr>
        <w:jc w:val="both"/>
        <w:rPr>
          <w:rFonts w:cs="Times New Roman"/>
          <w:szCs w:val="24"/>
        </w:rPr>
      </w:pPr>
      <w:r w:rsidRPr="00A24847">
        <w:rPr>
          <w:rFonts w:cs="Times New Roman"/>
          <w:szCs w:val="24"/>
        </w:rPr>
        <w:t>- Nie przyznawanie się do gniewu (często stwierdzeniom typu „Nic mi nie jest” towarzyszy mowa ciała wyrażająca coś zupełnie innego.</w:t>
      </w:r>
    </w:p>
    <w:p w:rsidR="00A24847" w:rsidRPr="00A24847" w:rsidRDefault="00A24847" w:rsidP="00A24847">
      <w:pPr>
        <w:jc w:val="both"/>
        <w:rPr>
          <w:rFonts w:cs="Times New Roman"/>
          <w:szCs w:val="24"/>
        </w:rPr>
      </w:pPr>
      <w:r w:rsidRPr="00A24847">
        <w:rPr>
          <w:rFonts w:cs="Times New Roman"/>
          <w:szCs w:val="24"/>
        </w:rPr>
        <w:t>- Ignorowanie rozmówcy.</w:t>
      </w:r>
    </w:p>
    <w:p w:rsidR="00A24847" w:rsidRPr="00A24847" w:rsidRDefault="00A24847" w:rsidP="00A24847">
      <w:pPr>
        <w:jc w:val="both"/>
        <w:rPr>
          <w:rFonts w:cs="Times New Roman"/>
          <w:szCs w:val="24"/>
        </w:rPr>
      </w:pPr>
      <w:r w:rsidRPr="00A24847">
        <w:rPr>
          <w:rFonts w:cs="Times New Roman"/>
          <w:szCs w:val="24"/>
        </w:rPr>
        <w:t>- „Cios w plecy”, rozpuszczanie plotek, sabotowanie danej osoby przy jednoczesnym unikaniu bezpośredniej konfrontacji.</w:t>
      </w:r>
    </w:p>
    <w:p w:rsidR="00A24847" w:rsidRPr="00A24847" w:rsidRDefault="00A24847" w:rsidP="00A24847">
      <w:pPr>
        <w:jc w:val="both"/>
        <w:rPr>
          <w:rFonts w:cs="Times New Roman"/>
          <w:szCs w:val="24"/>
        </w:rPr>
      </w:pPr>
      <w:r w:rsidRPr="00A24847">
        <w:rPr>
          <w:rFonts w:cs="Times New Roman"/>
          <w:szCs w:val="24"/>
        </w:rPr>
        <w:t>- Świadome „granie na nerwach” drugiej osobie, ale bez przekraczania granicy otwartego konfliktu.</w:t>
      </w:r>
    </w:p>
    <w:p w:rsidR="00A24847" w:rsidRPr="00A24847" w:rsidRDefault="00A24847" w:rsidP="00A24847">
      <w:pPr>
        <w:jc w:val="both"/>
        <w:rPr>
          <w:rFonts w:cs="Times New Roman"/>
          <w:szCs w:val="24"/>
        </w:rPr>
      </w:pPr>
      <w:r w:rsidRPr="00A24847">
        <w:rPr>
          <w:rFonts w:cs="Times New Roman"/>
          <w:szCs w:val="24"/>
        </w:rPr>
        <w:tab/>
        <w:t>Bierna agresja to próba manipulacji drugą osobą, dokuczenia jej lub zranienia bez ryzykowania otwartego konfliktu. Bierna agresja jest bardziej destrukcyjna           od czynnej. Bierny agresor nie daje się złapać na gorącym uczynku, w związku z czym odsłonięcie działającego u niego mechanizmu zaprzeczania i skłonienie do podjęcia uczciwych, równoprawnych negocjacji może okazać się bardzo trudne</w:t>
      </w:r>
      <w:r w:rsidRPr="00A24847">
        <w:rPr>
          <w:rFonts w:cs="Times New Roman"/>
          <w:szCs w:val="24"/>
          <w:vertAlign w:val="superscript"/>
        </w:rPr>
        <w:footnoteReference w:id="3"/>
      </w:r>
      <w:r w:rsidRPr="00A24847">
        <w:rPr>
          <w:rFonts w:cs="Times New Roman"/>
          <w:szCs w:val="24"/>
        </w:rPr>
        <w:t>.</w:t>
      </w:r>
    </w:p>
    <w:p w:rsidR="00A24847" w:rsidRPr="00A24847" w:rsidRDefault="00A24847" w:rsidP="00A24847">
      <w:pPr>
        <w:jc w:val="both"/>
        <w:rPr>
          <w:rFonts w:cs="Times New Roman"/>
          <w:szCs w:val="24"/>
        </w:rPr>
      </w:pPr>
      <w:r w:rsidRPr="00A24847">
        <w:rPr>
          <w:rFonts w:cs="Times New Roman"/>
          <w:szCs w:val="24"/>
        </w:rPr>
        <w:tab/>
        <w:t xml:space="preserve">Mniej więcej co dziesiąty respondent przyznaje się do używania siły w sporach. Jedna fizyczna brutalność nie jest jedynym problemem rodzin, w których dochodzi                         do nieporozumień, a cierpienia zadawane w inny sposób mogą być nie mniej bolesne lub upokarzające niż razy padające podczas awantur. Pomysłowość w tej dziedzinie jest raczej nierozpoznana i rzadko bywa przedmiotem badań z tych samych względów, które każą ostrożnie odnosić się do danych dotyczących rękoczynów. Tym razem </w:t>
      </w:r>
      <w:r w:rsidRPr="00A24847">
        <w:rPr>
          <w:rFonts w:cs="Times New Roman"/>
          <w:szCs w:val="24"/>
        </w:rPr>
        <w:lastRenderedPageBreak/>
        <w:t>podjęliśmy skromną próbę rozpoznania, jakie kary – poza biciem – stosują wobec siebie strony rodzinnych konfliktów.</w:t>
      </w:r>
    </w:p>
    <w:p w:rsidR="00A24847" w:rsidRPr="00A24847" w:rsidRDefault="00A24847" w:rsidP="00A24847">
      <w:pPr>
        <w:rPr>
          <w:rFonts w:cs="Times New Roman"/>
          <w:i/>
          <w:szCs w:val="24"/>
        </w:rPr>
      </w:pPr>
    </w:p>
    <w:p w:rsidR="00A24847" w:rsidRPr="00A24847" w:rsidRDefault="00A24847" w:rsidP="00A24847">
      <w:pPr>
        <w:jc w:val="center"/>
        <w:rPr>
          <w:rFonts w:cs="Times New Roman"/>
          <w:i/>
          <w:szCs w:val="24"/>
        </w:rPr>
      </w:pPr>
      <w:r w:rsidRPr="00A24847">
        <w:rPr>
          <w:rFonts w:cs="Times New Roman"/>
          <w:i/>
          <w:szCs w:val="24"/>
        </w:rPr>
        <w:t>Wykres 7. Formy agresji przejawiane przez uczniów.</w:t>
      </w:r>
    </w:p>
    <w:p w:rsidR="00A24847" w:rsidRPr="00A24847" w:rsidRDefault="00A24847" w:rsidP="00A24847">
      <w:pPr>
        <w:jc w:val="both"/>
        <w:rPr>
          <w:rFonts w:cs="Times New Roman"/>
          <w:szCs w:val="24"/>
        </w:rPr>
      </w:pPr>
      <w:r w:rsidRPr="00A24847">
        <w:rPr>
          <w:noProof/>
          <w:lang w:eastAsia="pl-PL"/>
        </w:rPr>
        <w:drawing>
          <wp:inline distT="0" distB="0" distL="0" distR="0" wp14:anchorId="580C1CB7" wp14:editId="63B688B7">
            <wp:extent cx="5362575" cy="2838450"/>
            <wp:effectExtent l="0" t="0" r="9525" b="19050"/>
            <wp:docPr id="6"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ind w:firstLine="708"/>
        <w:jc w:val="both"/>
        <w:rPr>
          <w:rFonts w:cs="Times New Roman"/>
          <w:szCs w:val="24"/>
        </w:rPr>
      </w:pPr>
      <w:r w:rsidRPr="00A24847">
        <w:rPr>
          <w:rFonts w:cs="Times New Roman"/>
          <w:szCs w:val="24"/>
        </w:rPr>
        <w:t>Metody wychowawcze i traktowanie dzieci przez dorosłych coraz częściej                 są przedmiotem publicznych dyskusji. Tę falę zainteresowania wywołuje z jednej strony wzrost przestępczości nieletnich, z drugiej – doniesienia o złym traktowaniu dzieci                  i ujawniane co jakiś czas przypadki maltretowania dziecka. Trudno stwierdzić, czy  odnotowany obecnie spadek liczby osób deklarujących bicie potomstwa jest efektem uwrażliwienia społeczeństwa na przemoc wobec dzieci, czy tylko każe rodzicom przemilczeć stosowanie tego rodzaju praktyk.</w:t>
      </w:r>
    </w:p>
    <w:p w:rsidR="00A24847" w:rsidRPr="00A24847" w:rsidRDefault="00A24847" w:rsidP="00A24847">
      <w:pPr>
        <w:rPr>
          <w:rFonts w:cs="Times New Roman"/>
          <w:i/>
          <w:szCs w:val="24"/>
        </w:rPr>
      </w:pPr>
    </w:p>
    <w:p w:rsidR="00A24847" w:rsidRPr="00A24847" w:rsidRDefault="00A24847" w:rsidP="00A24847">
      <w:pPr>
        <w:jc w:val="center"/>
        <w:rPr>
          <w:rFonts w:cs="Times New Roman"/>
          <w:i/>
          <w:szCs w:val="24"/>
        </w:rPr>
      </w:pPr>
      <w:r w:rsidRPr="00A24847">
        <w:rPr>
          <w:rFonts w:cs="Times New Roman"/>
          <w:i/>
          <w:szCs w:val="24"/>
        </w:rPr>
        <w:t>Wykres 8. Czy w rodzinie badanego ucznia stosowane są kary?</w:t>
      </w:r>
    </w:p>
    <w:p w:rsidR="00A24847" w:rsidRPr="00A24847" w:rsidRDefault="00A24847" w:rsidP="00A24847">
      <w:pPr>
        <w:jc w:val="both"/>
        <w:rPr>
          <w:rFonts w:cs="Times New Roman"/>
          <w:szCs w:val="24"/>
        </w:rPr>
      </w:pPr>
      <w:r w:rsidRPr="00A24847">
        <w:rPr>
          <w:noProof/>
          <w:lang w:eastAsia="pl-PL"/>
        </w:rPr>
        <w:lastRenderedPageBreak/>
        <w:drawing>
          <wp:inline distT="0" distB="0" distL="0" distR="0" wp14:anchorId="6CA7D0C9" wp14:editId="7D0195F8">
            <wp:extent cx="5410200" cy="3124200"/>
            <wp:effectExtent l="0" t="0" r="19050" b="19050"/>
            <wp:docPr id="7" name="Wykres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r w:rsidRPr="00A24847">
        <w:rPr>
          <w:rFonts w:cs="Times New Roman"/>
          <w:szCs w:val="24"/>
        </w:rPr>
        <w:tab/>
        <w:t>Najpopularniejszą karą (oprócz bicia) stosowaną wobec dzieci z rodzin patologicznych jest zakaz oglądania telewizji, a następnie „areszt domowy”.                 O wymierzaniu innych kar badani mówili znacznie rzadziej.</w:t>
      </w:r>
    </w:p>
    <w:p w:rsidR="00A24847" w:rsidRPr="00A24847" w:rsidRDefault="00A24847" w:rsidP="00A24847">
      <w:pPr>
        <w:jc w:val="both"/>
        <w:rPr>
          <w:rFonts w:cs="Times New Roman"/>
          <w:szCs w:val="24"/>
        </w:rPr>
      </w:pPr>
      <w:r w:rsidRPr="00A24847">
        <w:rPr>
          <w:rFonts w:cs="Times New Roman"/>
          <w:szCs w:val="24"/>
        </w:rPr>
        <w:tab/>
        <w:t xml:space="preserve">Co dziesiąty respondent za karę pozbawia dziecka kieszonkowego, również               co dziesiąty rozmawia z dzieckiem o tym, co się wydarzyło , upomina, tłumaczy, wyjaśnia. Ogólnie rzecz biorąc, rodzice częściej uciekają się do zakazów niż innych metod wychowawczych, ale też częściej stosują wobec dziecka inne kary niż przemoc fizyczna. </w:t>
      </w: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p>
    <w:p w:rsidR="00A24847" w:rsidRPr="00A24847" w:rsidRDefault="00A24847" w:rsidP="00A24847">
      <w:pPr>
        <w:jc w:val="both"/>
        <w:rPr>
          <w:rFonts w:cs="Times New Roman"/>
          <w:szCs w:val="24"/>
        </w:rPr>
      </w:pPr>
      <w:r w:rsidRPr="00A24847">
        <w:rPr>
          <w:rFonts w:cs="Times New Roman"/>
          <w:b/>
          <w:i/>
          <w:szCs w:val="24"/>
        </w:rPr>
        <w:t>Tabela 1. Odpowiedzi - inne (poza biciem) kary wobec dzieci.</w:t>
      </w:r>
    </w:p>
    <w:tbl>
      <w:tblPr>
        <w:tblStyle w:val="Tabela-Siatka"/>
        <w:tblW w:w="0" w:type="auto"/>
        <w:tblLook w:val="04A0" w:firstRow="1" w:lastRow="0" w:firstColumn="1" w:lastColumn="0" w:noHBand="0" w:noVBand="1"/>
      </w:tblPr>
      <w:tblGrid>
        <w:gridCol w:w="7759"/>
        <w:gridCol w:w="854"/>
      </w:tblGrid>
      <w:tr w:rsidR="00A24847" w:rsidRPr="00A24847" w:rsidTr="00B724A2">
        <w:trPr>
          <w:trHeight w:val="315"/>
        </w:trPr>
        <w:tc>
          <w:tcPr>
            <w:tcW w:w="7759" w:type="dxa"/>
            <w:hideMark/>
          </w:tcPr>
          <w:p w:rsidR="00A24847" w:rsidRPr="00A24847" w:rsidRDefault="00A24847" w:rsidP="00A24847">
            <w:pPr>
              <w:rPr>
                <w:rFonts w:asciiTheme="minorHAnsi" w:hAnsiTheme="minorHAnsi"/>
                <w:b/>
                <w:bCs/>
                <w:sz w:val="22"/>
              </w:rPr>
            </w:pPr>
            <w:r w:rsidRPr="00A24847">
              <w:rPr>
                <w:rFonts w:asciiTheme="minorHAnsi" w:hAnsiTheme="minorHAnsi"/>
                <w:b/>
                <w:bCs/>
                <w:sz w:val="22"/>
              </w:rPr>
              <w:t>Jakie kary – oprócz bicia - stosowane są wobec dzieci?</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 </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Rozmowy</w:t>
            </w:r>
            <w:r w:rsidRPr="00A24847">
              <w:rPr>
                <w:rFonts w:asciiTheme="minorHAnsi" w:hAnsiTheme="minorHAnsi"/>
                <w:sz w:val="22"/>
              </w:rPr>
              <w:t>, dyskusje, tłumaczenie, upominania, wpływanie na ambicję</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10%</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Różne metody</w:t>
            </w:r>
            <w:r w:rsidRPr="00A24847">
              <w:rPr>
                <w:rFonts w:asciiTheme="minorHAnsi" w:hAnsiTheme="minorHAnsi"/>
                <w:sz w:val="22"/>
              </w:rPr>
              <w:t xml:space="preserve"> - wypowiedzi ogólnikowe, np. stosowanie kar i nagród, kary, zakazy</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7%</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Krzyki</w:t>
            </w:r>
            <w:r w:rsidRPr="00A24847">
              <w:rPr>
                <w:rFonts w:asciiTheme="minorHAnsi" w:hAnsiTheme="minorHAnsi"/>
                <w:sz w:val="22"/>
              </w:rPr>
              <w:t>, reprymenda, klapsy</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2%</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b/>
                <w:bCs/>
                <w:sz w:val="22"/>
              </w:rPr>
            </w:pPr>
            <w:r w:rsidRPr="00A24847">
              <w:rPr>
                <w:rFonts w:asciiTheme="minorHAnsi" w:hAnsiTheme="minorHAnsi"/>
                <w:b/>
                <w:bCs/>
                <w:sz w:val="22"/>
              </w:rPr>
              <w:t>ZAKAZY</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 </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Zakaz lub ograniczenie oglądania telewizji</w:t>
            </w:r>
            <w:r w:rsidRPr="00A24847">
              <w:rPr>
                <w:rFonts w:asciiTheme="minorHAnsi" w:hAnsiTheme="minorHAnsi"/>
                <w:sz w:val="22"/>
              </w:rPr>
              <w:t>, dobranocki, bajki, filmy  dla dzieci, wideo</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48%</w:t>
            </w:r>
          </w:p>
        </w:tc>
      </w:tr>
      <w:tr w:rsidR="00A24847" w:rsidRPr="00A24847" w:rsidTr="00B724A2">
        <w:trPr>
          <w:trHeight w:val="630"/>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Areszt domowy</w:t>
            </w:r>
            <w:r w:rsidRPr="00A24847">
              <w:rPr>
                <w:rFonts w:asciiTheme="minorHAnsi" w:hAnsiTheme="minorHAnsi"/>
                <w:sz w:val="22"/>
              </w:rPr>
              <w:t xml:space="preserve"> - pozbawienie lub ograniczenie kontaktów z kolegami, rówieśnikami, zakaz wychodzenia z domu, na podwórko, na spacer, do kolegi, zapraszania kolegów do siebie</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41%</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b/>
                <w:bCs/>
                <w:sz w:val="22"/>
              </w:rPr>
            </w:pPr>
            <w:r w:rsidRPr="00A24847">
              <w:rPr>
                <w:rFonts w:asciiTheme="minorHAnsi" w:hAnsiTheme="minorHAnsi"/>
                <w:b/>
                <w:bCs/>
                <w:sz w:val="22"/>
              </w:rPr>
              <w:t>Zakaz korzystania z komputera, gier komputerowych, gier telewizyjnych</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15%</w:t>
            </w:r>
          </w:p>
        </w:tc>
      </w:tr>
      <w:tr w:rsidR="00A24847" w:rsidRPr="00A24847" w:rsidTr="00B724A2">
        <w:trPr>
          <w:trHeight w:val="630"/>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lastRenderedPageBreak/>
              <w:t xml:space="preserve">Pozbawienie lub ograniczenie swobód </w:t>
            </w:r>
            <w:r w:rsidRPr="00A24847">
              <w:rPr>
                <w:rFonts w:asciiTheme="minorHAnsi" w:hAnsiTheme="minorHAnsi"/>
                <w:sz w:val="22"/>
              </w:rPr>
              <w:t>- ogólnie lub konkretnie: pójścia na dyskotekę, do kina, na wycieczkę, na basen, jazdy na rowerze, zabawy, korzystania z samochodu, telefonu komórkowego</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14%</w:t>
            </w:r>
          </w:p>
        </w:tc>
      </w:tr>
      <w:tr w:rsidR="00A24847" w:rsidRPr="00A24847" w:rsidTr="00B724A2">
        <w:trPr>
          <w:trHeight w:val="945"/>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 xml:space="preserve">Pozbawienie lub ograniczenie przyjemności </w:t>
            </w:r>
            <w:r w:rsidRPr="00A24847">
              <w:rPr>
                <w:rFonts w:asciiTheme="minorHAnsi" w:hAnsiTheme="minorHAnsi"/>
                <w:sz w:val="22"/>
              </w:rPr>
              <w:t xml:space="preserve">- ogólnie lub konkretnie, jedzenia słodyczy, dostępu do rzeczy, które lubi, ulubionych zabawek, </w:t>
            </w:r>
            <w:r w:rsidRPr="00A24847">
              <w:rPr>
                <w:rFonts w:asciiTheme="minorHAnsi" w:hAnsiTheme="minorHAnsi"/>
                <w:b/>
                <w:bCs/>
                <w:sz w:val="22"/>
              </w:rPr>
              <w:t>odebranie obiecanych wcześniej przyjemności</w:t>
            </w:r>
            <w:r w:rsidRPr="00A24847">
              <w:rPr>
                <w:rFonts w:asciiTheme="minorHAnsi" w:hAnsiTheme="minorHAnsi"/>
                <w:sz w:val="22"/>
              </w:rPr>
              <w:t>, rzeczy, ubrań, modnych ciuchów</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12%</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b/>
                <w:bCs/>
                <w:sz w:val="22"/>
              </w:rPr>
            </w:pPr>
            <w:r w:rsidRPr="00A24847">
              <w:rPr>
                <w:rFonts w:asciiTheme="minorHAnsi" w:hAnsiTheme="minorHAnsi"/>
                <w:b/>
                <w:bCs/>
                <w:sz w:val="22"/>
              </w:rPr>
              <w:t>NAKAZY</w:t>
            </w:r>
          </w:p>
        </w:tc>
        <w:tc>
          <w:tcPr>
            <w:tcW w:w="854" w:type="dxa"/>
            <w:noWrap/>
            <w:hideMark/>
          </w:tcPr>
          <w:p w:rsidR="00A24847" w:rsidRPr="00A24847" w:rsidRDefault="00A24847" w:rsidP="00A24847">
            <w:pPr>
              <w:rPr>
                <w:rFonts w:asciiTheme="minorHAnsi" w:hAnsiTheme="minorHAnsi"/>
                <w:sz w:val="22"/>
              </w:rPr>
            </w:pPr>
            <w:r w:rsidRPr="00A24847">
              <w:rPr>
                <w:rFonts w:asciiTheme="minorHAnsi" w:hAnsiTheme="minorHAnsi"/>
                <w:sz w:val="22"/>
              </w:rPr>
              <w:t> </w:t>
            </w:r>
          </w:p>
        </w:tc>
      </w:tr>
      <w:tr w:rsidR="00A24847" w:rsidRPr="00A24847" w:rsidTr="00B724A2">
        <w:trPr>
          <w:trHeight w:val="630"/>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Dodatkowa praca w domu</w:t>
            </w:r>
            <w:r w:rsidRPr="00A24847">
              <w:rPr>
                <w:rFonts w:asciiTheme="minorHAnsi" w:hAnsiTheme="minorHAnsi"/>
                <w:sz w:val="22"/>
              </w:rPr>
              <w:t xml:space="preserve">, zwiększenie obowiązków, wymagań, </w:t>
            </w:r>
            <w:r w:rsidRPr="00A24847">
              <w:rPr>
                <w:rFonts w:asciiTheme="minorHAnsi" w:hAnsiTheme="minorHAnsi"/>
                <w:b/>
                <w:bCs/>
                <w:sz w:val="22"/>
              </w:rPr>
              <w:t>zmuszenie do czegoś, czego dziecko nie lubi lub nie umie</w:t>
            </w:r>
            <w:r w:rsidRPr="00A24847">
              <w:rPr>
                <w:rFonts w:asciiTheme="minorHAnsi" w:hAnsiTheme="minorHAnsi"/>
                <w:sz w:val="22"/>
              </w:rPr>
              <w:t>, np. jazdy na rowerze, przepisywania tekstów</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9%</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b/>
                <w:bCs/>
                <w:sz w:val="22"/>
              </w:rPr>
            </w:pPr>
            <w:r w:rsidRPr="00A24847">
              <w:rPr>
                <w:rFonts w:asciiTheme="minorHAnsi" w:hAnsiTheme="minorHAnsi"/>
                <w:b/>
                <w:bCs/>
                <w:sz w:val="22"/>
              </w:rPr>
              <w:t>INNE KARY</w:t>
            </w:r>
          </w:p>
        </w:tc>
        <w:tc>
          <w:tcPr>
            <w:tcW w:w="854" w:type="dxa"/>
            <w:noWrap/>
            <w:hideMark/>
          </w:tcPr>
          <w:p w:rsidR="00A24847" w:rsidRPr="00A24847" w:rsidRDefault="00A24847" w:rsidP="00A24847">
            <w:pPr>
              <w:rPr>
                <w:rFonts w:asciiTheme="minorHAnsi" w:hAnsiTheme="minorHAnsi"/>
                <w:sz w:val="22"/>
              </w:rPr>
            </w:pPr>
            <w:r w:rsidRPr="00A24847">
              <w:rPr>
                <w:rFonts w:asciiTheme="minorHAnsi" w:hAnsiTheme="minorHAnsi"/>
                <w:sz w:val="22"/>
              </w:rPr>
              <w:t> </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sz w:val="22"/>
              </w:rPr>
              <w:t xml:space="preserve">Całkowite lub częściowe </w:t>
            </w:r>
            <w:r w:rsidRPr="00A24847">
              <w:rPr>
                <w:rFonts w:asciiTheme="minorHAnsi" w:hAnsiTheme="minorHAnsi"/>
                <w:b/>
                <w:bCs/>
                <w:sz w:val="22"/>
              </w:rPr>
              <w:t>pozbawienie kieszonkowego</w:t>
            </w:r>
            <w:r w:rsidRPr="00A24847">
              <w:rPr>
                <w:rFonts w:asciiTheme="minorHAnsi" w:hAnsiTheme="minorHAnsi"/>
                <w:sz w:val="22"/>
              </w:rPr>
              <w:t>, pieniędzy na własne wydatki, na przyjemności</w:t>
            </w:r>
          </w:p>
        </w:tc>
        <w:tc>
          <w:tcPr>
            <w:tcW w:w="854" w:type="dxa"/>
            <w:noWrap/>
            <w:hideMark/>
          </w:tcPr>
          <w:p w:rsidR="00A24847" w:rsidRPr="00A24847" w:rsidRDefault="00A24847" w:rsidP="00A24847">
            <w:pPr>
              <w:rPr>
                <w:rFonts w:asciiTheme="minorHAnsi" w:hAnsiTheme="minorHAnsi"/>
                <w:sz w:val="22"/>
              </w:rPr>
            </w:pPr>
            <w:r w:rsidRPr="00A24847">
              <w:rPr>
                <w:rFonts w:asciiTheme="minorHAnsi" w:hAnsiTheme="minorHAnsi"/>
                <w:sz w:val="22"/>
              </w:rPr>
              <w:t>10%</w:t>
            </w:r>
          </w:p>
        </w:tc>
      </w:tr>
      <w:tr w:rsidR="00A24847" w:rsidRPr="00A24847" w:rsidTr="00B724A2">
        <w:trPr>
          <w:trHeight w:val="315"/>
        </w:trPr>
        <w:tc>
          <w:tcPr>
            <w:tcW w:w="7759" w:type="dxa"/>
            <w:hideMark/>
          </w:tcPr>
          <w:p w:rsidR="00A24847" w:rsidRPr="00A24847" w:rsidRDefault="00A24847" w:rsidP="00A24847">
            <w:pPr>
              <w:rPr>
                <w:rFonts w:asciiTheme="minorHAnsi" w:hAnsiTheme="minorHAnsi"/>
                <w:sz w:val="22"/>
              </w:rPr>
            </w:pPr>
            <w:r w:rsidRPr="00A24847">
              <w:rPr>
                <w:rFonts w:asciiTheme="minorHAnsi" w:hAnsiTheme="minorHAnsi"/>
                <w:b/>
                <w:bCs/>
                <w:sz w:val="22"/>
              </w:rPr>
              <w:t>Stanie w kącie, klęczenie</w:t>
            </w:r>
            <w:r w:rsidRPr="00A24847">
              <w:rPr>
                <w:rFonts w:asciiTheme="minorHAnsi" w:hAnsiTheme="minorHAnsi"/>
                <w:sz w:val="22"/>
              </w:rPr>
              <w:t>, "wyprowadzenie do osobnego pokoju"</w:t>
            </w:r>
          </w:p>
        </w:tc>
        <w:tc>
          <w:tcPr>
            <w:tcW w:w="854" w:type="dxa"/>
            <w:hideMark/>
          </w:tcPr>
          <w:p w:rsidR="00A24847" w:rsidRPr="00A24847" w:rsidRDefault="00A24847" w:rsidP="00A24847">
            <w:pPr>
              <w:rPr>
                <w:rFonts w:asciiTheme="minorHAnsi" w:hAnsiTheme="minorHAnsi"/>
                <w:sz w:val="22"/>
              </w:rPr>
            </w:pPr>
            <w:r w:rsidRPr="00A24847">
              <w:rPr>
                <w:rFonts w:asciiTheme="minorHAnsi" w:hAnsiTheme="minorHAnsi"/>
                <w:sz w:val="22"/>
              </w:rPr>
              <w:t>5%</w:t>
            </w:r>
          </w:p>
        </w:tc>
      </w:tr>
    </w:tbl>
    <w:p w:rsidR="00A24847" w:rsidRPr="00A24847" w:rsidRDefault="00A24847" w:rsidP="00A24847">
      <w:pPr>
        <w:jc w:val="center"/>
        <w:rPr>
          <w:rFonts w:cs="Times New Roman"/>
          <w:i/>
          <w:szCs w:val="24"/>
        </w:rPr>
      </w:pPr>
    </w:p>
    <w:p w:rsidR="00A24847" w:rsidRPr="00A24847" w:rsidRDefault="00A24847" w:rsidP="00A24847">
      <w:pPr>
        <w:jc w:val="center"/>
        <w:rPr>
          <w:rFonts w:cs="Times New Roman"/>
          <w:i/>
          <w:szCs w:val="24"/>
        </w:rPr>
      </w:pPr>
      <w:r w:rsidRPr="00A24847">
        <w:rPr>
          <w:rFonts w:cs="Times New Roman"/>
          <w:i/>
          <w:szCs w:val="24"/>
        </w:rPr>
        <w:t>Źródło: własne</w:t>
      </w:r>
    </w:p>
    <w:p w:rsidR="00A24847" w:rsidRPr="00A24847" w:rsidRDefault="00A24847" w:rsidP="00A24847">
      <w:pPr>
        <w:ind w:firstLine="708"/>
        <w:jc w:val="both"/>
        <w:rPr>
          <w:rFonts w:cs="Times New Roman"/>
          <w:szCs w:val="24"/>
        </w:rPr>
      </w:pPr>
      <w:r w:rsidRPr="00A24847">
        <w:rPr>
          <w:rFonts w:cs="Times New Roman"/>
          <w:szCs w:val="24"/>
        </w:rPr>
        <w:t>W aspekcie autorytetu rodzicielskiego, jako ważnego czynnika wychowania dziecka, polegającego na nie wyrażaniu potrzeby doradztwa, ale uznającego                go za niebudzący wątpliwości przywilej autorytetów pozornych i fałszywych (autorytet przemocy, samochwalstwa, pedantyzmu, moralizatorstwa, miłości, dobroci, przyjaźni    i przekupstwa). Makarenko zwraca uwagę na stale niedostateczną siłę poszczególnych czynników oddziałujących na człowieka, rozpatrywanych w sposób sztucznie wyizolowany ze wzajemnego współdziałania. Stwierdza jednocześnie, że system wychowania rodzinnego może być także źródłem społecznej bierności dziecka,            w każdym razie tak długo, jak dziecko znajdzie się pod tym wpływem</w:t>
      </w:r>
      <w:r w:rsidRPr="00A24847">
        <w:rPr>
          <w:rFonts w:cs="Times New Roman"/>
          <w:szCs w:val="24"/>
          <w:vertAlign w:val="superscript"/>
        </w:rPr>
        <w:footnoteReference w:id="4"/>
      </w:r>
      <w:r w:rsidRPr="00A24847">
        <w:rPr>
          <w:rFonts w:cs="Times New Roman"/>
          <w:szCs w:val="24"/>
        </w:rPr>
        <w:t>.</w:t>
      </w:r>
    </w:p>
    <w:p w:rsidR="00A24847" w:rsidRDefault="00A24847" w:rsidP="001B1823">
      <w:pPr>
        <w:jc w:val="both"/>
        <w:rPr>
          <w:rFonts w:cs="Times New Roman"/>
          <w:szCs w:val="24"/>
        </w:rPr>
      </w:pPr>
      <w:r w:rsidRPr="00A24847">
        <w:rPr>
          <w:rFonts w:cs="Times New Roman"/>
          <w:szCs w:val="24"/>
        </w:rPr>
        <w:tab/>
        <w:t>Wobec niespełnionych obietnic, planów i konsekwencji rodziców, widocznego zagubienia dorosłych, doświadczenia prowadząceg</w:t>
      </w:r>
      <w:r w:rsidR="001B1823">
        <w:rPr>
          <w:rFonts w:cs="Times New Roman"/>
          <w:szCs w:val="24"/>
        </w:rPr>
        <w:t>o do braku wsparcia i porządku,</w:t>
      </w: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1B1823" w:rsidRPr="00486CD5" w:rsidRDefault="001B1823" w:rsidP="00486CD5">
      <w:pPr>
        <w:pBdr>
          <w:top w:val="single" w:sz="4" w:space="1" w:color="auto"/>
          <w:left w:val="single" w:sz="4" w:space="4" w:color="auto"/>
          <w:bottom w:val="single" w:sz="4" w:space="1" w:color="auto"/>
          <w:right w:val="single" w:sz="4" w:space="4" w:color="auto"/>
        </w:pBdr>
        <w:jc w:val="both"/>
        <w:rPr>
          <w:rFonts w:cs="Times New Roman"/>
          <w:color w:val="00B050"/>
          <w:szCs w:val="24"/>
        </w:rPr>
      </w:pPr>
    </w:p>
    <w:p w:rsidR="00486CD5" w:rsidRDefault="00A24847" w:rsidP="00A24847">
      <w:pPr>
        <w:jc w:val="both"/>
        <w:rPr>
          <w:rFonts w:cs="Times New Roman"/>
          <w:szCs w:val="24"/>
        </w:rPr>
      </w:pPr>
      <w:r w:rsidRPr="00A24847">
        <w:rPr>
          <w:rFonts w:cs="Times New Roman"/>
          <w:szCs w:val="24"/>
        </w:rPr>
        <w:lastRenderedPageBreak/>
        <w:tab/>
      </w:r>
    </w:p>
    <w:p w:rsidR="00A24847" w:rsidRPr="00A24847" w:rsidRDefault="00A24847" w:rsidP="00486CD5">
      <w:pPr>
        <w:ind w:firstLine="708"/>
        <w:jc w:val="both"/>
        <w:rPr>
          <w:rFonts w:cs="Times New Roman"/>
          <w:szCs w:val="24"/>
        </w:rPr>
      </w:pPr>
      <w:r w:rsidRPr="00A24847">
        <w:rPr>
          <w:rFonts w:cs="Times New Roman"/>
          <w:szCs w:val="24"/>
        </w:rPr>
        <w:t>Cennych informacji dostarczają również wartości, na które nie wskazywali badani gimnazjaliści. Na liście odrzuconych wartości równorzędną pozycję (0,6% wyborów) zajmują: poczucie humoru, zaufanie, tolerancja, niezależność, partnerstwo, muzyka, sprawność fizyczna, seks oraz życie. Pozornie nic nie łączy tych wartości, trudno byłoby zatem mówić, że badani uczniowie – odrzucając je – kierowali się jakąś logiką. Jednak istnieje coś, co świadczy o korel</w:t>
      </w:r>
      <w:r w:rsidR="00486CD5">
        <w:rPr>
          <w:rFonts w:cs="Times New Roman"/>
          <w:szCs w:val="24"/>
        </w:rPr>
        <w:t>acji tych wartości, co wskazuje</w:t>
      </w:r>
      <w:r w:rsidRPr="00A24847">
        <w:rPr>
          <w:rFonts w:cs="Times New Roman"/>
          <w:szCs w:val="24"/>
        </w:rPr>
        <w:t xml:space="preserve"> na to, że uczniowskie decyzje nie były przypadkowe. Tym czynnikiem spajającym jest niechęć wobec zasad właściwych dla społeczeństwa demokratycznego, dla samych reguł demokracji. W jednym bowiem koszyku wartości zanegowanych znalazły się: partnerstwo, tolerancja, niezależność, zaufanie. Można by powiedzieć, że na tych wartościach</w:t>
      </w:r>
      <w:r w:rsidRPr="00A24847">
        <w:t xml:space="preserve"> </w:t>
      </w:r>
      <w:r w:rsidRPr="00A24847">
        <w:rPr>
          <w:rFonts w:cs="Times New Roman"/>
          <w:szCs w:val="24"/>
        </w:rPr>
        <w:t>opiera się demokracja, że dla demokracji są one pryncypiami. Oznacza    to, że badani uczniowie w swym życiu nie doświadczyli dobrodziejstwa demokracji,                                 że są wychowywani (przez rodzinę?, przez szkołę?, przez środowisko?) w sposób autorytarny i że ta autorytarna metoda stanowi dla nich bezpośredni wzorzec odniesienia. Można też stwierdzić, że demokracja w środowisku badanych uczniów jest oceniana negatywnie, co ma związek z frustracją, upadkiem zakładów pracy, PGR-ów, brakiem perspektyw oraz dostrzeganiem głownie zagrożeń a nie szans. Zastanawia też niska ocena życia. To jest przecież wartość najcenniejsza, sama w sobie. Myślę,           że wiąże się to z tym, że badani uczniowie są bardzo młodzi. Wszystko jest przed nimi. Nie dostrzegają więc tego, że kiedyś indywidualne życie się skończy, a zatem trzeba    je cenić jak najwyżej.</w:t>
      </w:r>
    </w:p>
    <w:p w:rsidR="00A24847" w:rsidRPr="00A24847" w:rsidRDefault="00A24847" w:rsidP="00A24847">
      <w:pPr>
        <w:jc w:val="both"/>
        <w:rPr>
          <w:rFonts w:cs="Times New Roman"/>
          <w:szCs w:val="24"/>
        </w:rPr>
      </w:pPr>
    </w:p>
    <w:p w:rsidR="00A24847" w:rsidRPr="00A24847" w:rsidRDefault="00A24847" w:rsidP="00A24847">
      <w:pPr>
        <w:jc w:val="center"/>
        <w:rPr>
          <w:rFonts w:cs="Times New Roman"/>
          <w:i/>
          <w:szCs w:val="24"/>
        </w:rPr>
      </w:pPr>
      <w:r w:rsidRPr="00A24847">
        <w:rPr>
          <w:rFonts w:cs="Times New Roman"/>
          <w:i/>
          <w:szCs w:val="24"/>
        </w:rPr>
        <w:t>Wykres 13. Wartości preferowane przez gimnazjalistów.</w:t>
      </w:r>
    </w:p>
    <w:p w:rsidR="00A24847" w:rsidRPr="00A24847" w:rsidRDefault="00A24847" w:rsidP="00A24847">
      <w:pPr>
        <w:jc w:val="both"/>
        <w:rPr>
          <w:rFonts w:cs="Times New Roman"/>
          <w:szCs w:val="24"/>
        </w:rPr>
      </w:pPr>
      <w:r w:rsidRPr="00A24847">
        <w:rPr>
          <w:noProof/>
          <w:lang w:eastAsia="pl-PL"/>
        </w:rPr>
        <w:lastRenderedPageBreak/>
        <w:drawing>
          <wp:inline distT="0" distB="0" distL="0" distR="0" wp14:anchorId="2498B4E1" wp14:editId="115FE266">
            <wp:extent cx="5391150" cy="7010400"/>
            <wp:effectExtent l="0" t="0" r="19050" b="19050"/>
            <wp:docPr id="12"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24847" w:rsidRPr="00A24847" w:rsidRDefault="00A24847" w:rsidP="00A24847">
      <w:pPr>
        <w:jc w:val="center"/>
        <w:rPr>
          <w:rFonts w:cs="Times New Roman"/>
          <w:i/>
          <w:szCs w:val="24"/>
        </w:rPr>
      </w:pPr>
      <w:r w:rsidRPr="00A24847">
        <w:rPr>
          <w:rFonts w:cs="Times New Roman"/>
          <w:i/>
          <w:szCs w:val="24"/>
        </w:rPr>
        <w:t>Źródło: własne</w:t>
      </w:r>
    </w:p>
    <w:p w:rsidR="00486CD5" w:rsidRPr="00A24847" w:rsidRDefault="00A24847" w:rsidP="00486CD5">
      <w:pPr>
        <w:jc w:val="both"/>
        <w:rPr>
          <w:rFonts w:eastAsia="Times New Roman" w:cs="Times New Roman"/>
          <w:sz w:val="16"/>
          <w:szCs w:val="16"/>
          <w:lang w:eastAsia="pl-PL"/>
        </w:rPr>
      </w:pPr>
      <w:r w:rsidRPr="00A24847">
        <w:rPr>
          <w:rFonts w:cs="Times New Roman"/>
          <w:szCs w:val="24"/>
        </w:rPr>
        <w:tab/>
        <w:t xml:space="preserve">Warto zwrócić uwagę na wartości mieszczące się w środku listy, jaką można             by utworzyć na podstawie odpowiedzi udzielanych przez uczniów. Wspólną kategorię tworzą: pieniądze (42%), kariera (34%), zabawa (28%), uroda (28%), samochód (24%). Stosunkowo niska ranga tych wartości potwierdza wcześniejsze spostrzeżenie,              iż badana grupa młodzieży jest idealistycznie nastawiona do świata. Nie widzą związku między pracą, wykształceniem a karierą, pieniędzmi, przyjemnościami związanymi       </w:t>
      </w:r>
      <w:r w:rsidRPr="00A24847">
        <w:rPr>
          <w:rFonts w:cs="Times New Roman"/>
          <w:szCs w:val="24"/>
        </w:rPr>
        <w:lastRenderedPageBreak/>
        <w:t xml:space="preserve">z korzystaniem z dóbr materialnych.  Skoro nie dostrzegają takich relacji, oznacza         to, że nie zdają sobie sprawy z faktu, iż w ustroju kapitalistycznym takie związki              są naturalne. Oczywiste jest bowiem, że praca i wykształcenie są podwaliną dla kariery, zdobywania pieniędzy. Można by powiedzieć, że badani uczniowie pozostają pod wpływem otoczenia deponującego pewne przekonania uformowane w socjalizmie,      co w tak małym środowisku i w sytuacji unicestwienia na tym terenie socjalistycznych </w:t>
      </w:r>
    </w:p>
    <w:p w:rsidR="00E46F77" w:rsidRDefault="00E46F77" w:rsidP="00A24847">
      <w:pPr>
        <w:spacing w:line="240" w:lineRule="auto"/>
        <w:jc w:val="both"/>
        <w:rPr>
          <w:rFonts w:eastAsia="Times New Roman" w:cs="Times New Roman"/>
          <w:sz w:val="16"/>
          <w:szCs w:val="16"/>
          <w:lang w:eastAsia="pl-PL"/>
        </w:rPr>
      </w:pPr>
    </w:p>
    <w:p w:rsidR="00EE1B92" w:rsidRDefault="00EE1B92" w:rsidP="00A24847">
      <w:pPr>
        <w:spacing w:line="240" w:lineRule="auto"/>
        <w:jc w:val="both"/>
        <w:rPr>
          <w:rFonts w:eastAsia="Times New Roman" w:cs="Times New Roman"/>
          <w:sz w:val="16"/>
          <w:szCs w:val="16"/>
          <w:lang w:eastAsia="pl-PL"/>
        </w:rPr>
      </w:pPr>
    </w:p>
    <w:p w:rsidR="00EE1B92" w:rsidRDefault="00EE1B92" w:rsidP="00A24847">
      <w:pPr>
        <w:spacing w:line="240" w:lineRule="auto"/>
        <w:jc w:val="both"/>
        <w:rPr>
          <w:rFonts w:eastAsia="Times New Roman" w:cs="Times New Roman"/>
          <w:sz w:val="16"/>
          <w:szCs w:val="16"/>
          <w:lang w:eastAsia="pl-PL"/>
        </w:rPr>
      </w:pPr>
    </w:p>
    <w:p w:rsidR="00EE1B92" w:rsidRDefault="00EE1B92" w:rsidP="00EE1B92">
      <w:pPr>
        <w:pStyle w:val="Akapitzlist"/>
        <w:ind w:left="0"/>
        <w:rPr>
          <w:b/>
          <w:sz w:val="32"/>
          <w:szCs w:val="32"/>
        </w:rPr>
      </w:pPr>
      <w:r>
        <w:rPr>
          <w:b/>
          <w:sz w:val="32"/>
          <w:szCs w:val="32"/>
        </w:rPr>
        <w:t>5.4. Wnioski z badań</w:t>
      </w:r>
    </w:p>
    <w:p w:rsidR="00EE1B92" w:rsidRDefault="00EE1B92" w:rsidP="00EE1B92">
      <w:pPr>
        <w:pStyle w:val="Akapitzlist"/>
        <w:ind w:left="0"/>
        <w:rPr>
          <w:b/>
          <w:sz w:val="32"/>
          <w:szCs w:val="32"/>
        </w:rPr>
      </w:pPr>
    </w:p>
    <w:p w:rsidR="00EE1B92" w:rsidRDefault="00EE1B92" w:rsidP="00EE1B92">
      <w:pPr>
        <w:ind w:firstLine="708"/>
        <w:jc w:val="both"/>
        <w:rPr>
          <w:szCs w:val="24"/>
        </w:rPr>
      </w:pPr>
      <w:r>
        <w:rPr>
          <w:szCs w:val="24"/>
        </w:rPr>
        <w:t xml:space="preserve">Celem moich badań było uzyskanie informacji na temat obrazu rodziny w oczach młodzieży. Poznanie zdania młodych ludzi na tę sferę skłania mnie do pewnych wniosków. </w:t>
      </w:r>
    </w:p>
    <w:p w:rsidR="00EE1B92" w:rsidRDefault="00EE1B92" w:rsidP="00EE1B92">
      <w:pPr>
        <w:ind w:firstLine="708"/>
        <w:jc w:val="both"/>
        <w:rPr>
          <w:szCs w:val="24"/>
        </w:rPr>
      </w:pPr>
      <w:r>
        <w:rPr>
          <w:szCs w:val="24"/>
        </w:rPr>
        <w:t xml:space="preserve">Grupa wartości rodzinnych znalazła u respondentów należyte uznanie. Można zaobserwować, iż badani doceniają swoją obecną rodzinę, ale jednocześnie odsłaniają jej niedoskonałości, zaznaczają wobec rodziny postawę krytyczną. </w:t>
      </w:r>
    </w:p>
    <w:p w:rsidR="00EE1B92" w:rsidRDefault="00EE1B92" w:rsidP="00EE1B92">
      <w:pPr>
        <w:ind w:firstLine="708"/>
        <w:jc w:val="both"/>
        <w:rPr>
          <w:szCs w:val="24"/>
        </w:rPr>
      </w:pPr>
      <w:r>
        <w:rPr>
          <w:szCs w:val="24"/>
        </w:rPr>
        <w:t xml:space="preserve">Wyniki przeprowadzonych przeze mnie badań powinny nastrajać optymistycznie. Analiza wyników potwierdziła, iż dla badanej młodzieży rodzina stanowi jedną z najwyższych wartości. Wynik pozwala domniemywać o prorodzinnych nastawieniach młodych ludzi. Życiowym celem okazuje się dążenie do posiadania „kochającej się rodziny” postrzeganej jako ideał małej stabilizacji, tzn., spokojne życie w gronie rodziny i głównie dla rodziny. Rodzina w stosunku do innych wartości staje się czynnikiem motywującym, organizującym i ukierunkowującym życiową działalność. Rodzina stanowi także pryzmat, przez który dokonuje się oceny innych wartości. Można domniemywać, iż wybór pozostałych wartości został dokonany poprzez pryzmat rodziny. Dążenia i pragnienia, które zostały wymienione przez młodych można osiągnąć głównie w życiu rodzinnym- sprowadza się to tak samo do swojej rodziny macierzystej jak i tej, którą pragnie się stworzyć w przyszłości. </w:t>
      </w:r>
    </w:p>
    <w:p w:rsidR="00EE1B92" w:rsidRDefault="00EE1B92" w:rsidP="00EE1B92">
      <w:pPr>
        <w:ind w:firstLine="360"/>
        <w:jc w:val="both"/>
        <w:rPr>
          <w:szCs w:val="24"/>
        </w:rPr>
      </w:pPr>
      <w:r>
        <w:rPr>
          <w:szCs w:val="24"/>
        </w:rPr>
        <w:t>Przeprowadzone badania pozwalają nam dostrzec następujące wnioski:</w:t>
      </w:r>
    </w:p>
    <w:p w:rsidR="00EE1B92" w:rsidRDefault="00EE1B92" w:rsidP="00EE1B92">
      <w:pPr>
        <w:ind w:firstLine="360"/>
        <w:jc w:val="both"/>
        <w:rPr>
          <w:szCs w:val="24"/>
        </w:rPr>
      </w:pPr>
      <w:r>
        <w:rPr>
          <w:szCs w:val="24"/>
        </w:rPr>
        <w:t>- w rodzinie realizuje się społeczna natura człowieka. To rodzina wpływa na internalizację określonych wartości. Jest ona miejscem, w którym młodzi ludzie w przeważającej części szukają wartości najważniejszych w życiu;</w:t>
      </w:r>
    </w:p>
    <w:p w:rsidR="00EE1B92" w:rsidRDefault="00EE1B92" w:rsidP="00EE1B92">
      <w:pPr>
        <w:jc w:val="both"/>
        <w:rPr>
          <w:szCs w:val="24"/>
        </w:rPr>
      </w:pPr>
      <w:r>
        <w:rPr>
          <w:szCs w:val="24"/>
        </w:rPr>
        <w:lastRenderedPageBreak/>
        <w:t>- młodzież pragnie, aby założona przez nich rodzina była szczęśliwa, udana i trwała. Za wszelką cenę nie chcą popełniać błędów wychowawczych swoich rodziców, których to oni doświadczyli;</w:t>
      </w:r>
    </w:p>
    <w:p w:rsidR="00EE1B92" w:rsidRDefault="00EE1B92" w:rsidP="00EE1B92">
      <w:pPr>
        <w:jc w:val="both"/>
        <w:rPr>
          <w:szCs w:val="24"/>
        </w:rPr>
      </w:pPr>
      <w:r>
        <w:rPr>
          <w:szCs w:val="24"/>
        </w:rPr>
        <w:t>- rodzina poprzez to, że przekazuje dzieciom wartości, normy, zwyczaje i tradycje stanowi zasadniczy element wychowania środowiska rodzinnego;</w:t>
      </w:r>
    </w:p>
    <w:p w:rsidR="00EE1B92" w:rsidRDefault="00EE1B92" w:rsidP="00EE1B92">
      <w:pPr>
        <w:jc w:val="both"/>
        <w:rPr>
          <w:szCs w:val="24"/>
        </w:rPr>
      </w:pPr>
      <w:r>
        <w:rPr>
          <w:szCs w:val="24"/>
        </w:rPr>
        <w:t>- małżeństwo, mimo iż z założenia powinno być nierozerwalne , nie zawsze jest w stanie przetrwać ciężkie próby upadków i niepowodzeń. Wśród ankietowanych, największym zagrożeniem dla małżeństwa są zdrady bądź zbyt mało przemyślana decyzja o małżeństwie. Takie wyniki świadczą o tym, że młodzi ludzie są świadomi odpowiedzialności, jaka wiąże się z podjęciem decyzji o małżeństwie;</w:t>
      </w:r>
    </w:p>
    <w:p w:rsidR="00EE1B92" w:rsidRDefault="00EE1B92" w:rsidP="00EE1B92">
      <w:pPr>
        <w:jc w:val="both"/>
        <w:rPr>
          <w:szCs w:val="24"/>
        </w:rPr>
      </w:pPr>
      <w:r>
        <w:rPr>
          <w:szCs w:val="24"/>
        </w:rPr>
        <w:t>- miejscem poszukiwania najważniejszych wartości w życiu, które wskazali respondenci była rodzina. Tuż za rodziną badani wskazali, że religia również przekazuje im takie wartości. Dzięki temu można zauważyć szacunek do wpojonych wartości religijnych;</w:t>
      </w:r>
    </w:p>
    <w:p w:rsidR="00EE1B92" w:rsidRDefault="00EE1B92" w:rsidP="00EE1B92">
      <w:pPr>
        <w:jc w:val="both"/>
        <w:rPr>
          <w:szCs w:val="24"/>
        </w:rPr>
      </w:pPr>
      <w:r>
        <w:rPr>
          <w:szCs w:val="24"/>
        </w:rPr>
        <w:t>- badana młodzież w większości stwierdza, iż w jej dotychczasowej rodzinie brakuje im pieniędzy. Można stwierdzić iż ankietowani wiążą wysoki status finansowy rodziny z jej lepszym funkcjonowaniem bądź z pełniejszym wypełnieniem wyznaczonych im ról w społeczeństwie;</w:t>
      </w:r>
    </w:p>
    <w:p w:rsidR="00EE1B92" w:rsidRDefault="00EE1B92" w:rsidP="00EE1B92">
      <w:pPr>
        <w:jc w:val="both"/>
        <w:rPr>
          <w:szCs w:val="24"/>
        </w:rPr>
      </w:pPr>
      <w:r>
        <w:rPr>
          <w:szCs w:val="24"/>
        </w:rPr>
        <w:t>- wyniki  pokazują nam znaczenie miłości dla badanej młodzieży. Znaczna większość ankietowanych opowiedziała się właśnie za miłością jako wartością najistotniejszą w rodzinie. Miłość powinna być czynnikiem priorytetowym i niezbędnym w każdej rodzinie;</w:t>
      </w:r>
    </w:p>
    <w:p w:rsidR="00EE1B92" w:rsidRDefault="00EE1B92" w:rsidP="00EE1B92">
      <w:pPr>
        <w:jc w:val="both"/>
        <w:rPr>
          <w:szCs w:val="24"/>
        </w:rPr>
      </w:pPr>
      <w:r>
        <w:rPr>
          <w:szCs w:val="24"/>
        </w:rPr>
        <w:t xml:space="preserve">- młodzież bardzo poważnie traktuje nietykalność cielesną i godność człowieka. Wyniki mówią nam, że w opinii respondentów najgroźniejszą patologią dla współczesnej rodziny jest właśnie przemoc, która narusza w sposób niedopuszczalny i trudny do zaakceptowania godność człowieka oraz jego nietykalność cielesną. </w:t>
      </w:r>
    </w:p>
    <w:p w:rsidR="00EE1B92" w:rsidRDefault="00EE1B92" w:rsidP="00EE1B92">
      <w:pPr>
        <w:ind w:firstLine="708"/>
        <w:jc w:val="both"/>
        <w:rPr>
          <w:szCs w:val="24"/>
        </w:rPr>
      </w:pPr>
      <w:r>
        <w:rPr>
          <w:szCs w:val="24"/>
        </w:rPr>
        <w:t>Również agresja i alkoholizm w ich uznaniu jest bardzo wielkim problemem życia rodzinnego;</w:t>
      </w:r>
    </w:p>
    <w:p w:rsidR="00EE1B92" w:rsidRDefault="00EE1B92" w:rsidP="00EE1B92">
      <w:pPr>
        <w:jc w:val="both"/>
        <w:rPr>
          <w:szCs w:val="24"/>
        </w:rPr>
      </w:pPr>
      <w:r>
        <w:rPr>
          <w:szCs w:val="24"/>
        </w:rPr>
        <w:tab/>
        <w:t xml:space="preserve">- z biegiem czasu rozluźniają się kontakty z rodzicami, a co za tym idzie zmienia się spojrzenie na wartości przekazywane przez rodzinę. Większość ankietowanych opowiedziała się za tym, że wartości, które przekazuje im rodzina są najważniejsze. Niewiele mniejsza część stwierdza, że są dla nich ważne, lecz z upływem czasu wyrabiają sobie swoją hierarchię wartości. Aczkolwiek nie możemy zupełnie </w:t>
      </w:r>
      <w:r>
        <w:rPr>
          <w:szCs w:val="24"/>
        </w:rPr>
        <w:lastRenderedPageBreak/>
        <w:t>wykluczyć, że w takiej sytuacji w ogóle nie biorą oni pod wzgląd tego, co wynieśli z rodziny i budują całkowicie odmienną hierarchię wartości.</w:t>
      </w:r>
    </w:p>
    <w:p w:rsidR="00EE1B92" w:rsidRDefault="00EE1B92" w:rsidP="00EE1B92">
      <w:pPr>
        <w:jc w:val="both"/>
        <w:rPr>
          <w:szCs w:val="24"/>
        </w:rPr>
      </w:pPr>
      <w:r>
        <w:rPr>
          <w:szCs w:val="24"/>
        </w:rPr>
        <w:tab/>
        <w:t>- dużą świadomością i dojrzałością wykazuje się ankietowana młodzież twierdząc, iż w ich mniemaniu rozwód nie jest dopuszczalny. Można stwierdzić, że respondenci nastawieni są na ratowanie i utrzymanie związku w czasie jego możliwego kryzysu. Młodzi ludzie zdają sobie sprawę, że decyzja o rozwodzie nie może być pochopna i lekkomyślna;</w:t>
      </w:r>
    </w:p>
    <w:p w:rsidR="00EE1B92" w:rsidRDefault="00EE1B92" w:rsidP="00EE1B92">
      <w:pPr>
        <w:jc w:val="both"/>
        <w:rPr>
          <w:szCs w:val="24"/>
        </w:rPr>
      </w:pPr>
      <w:r>
        <w:rPr>
          <w:szCs w:val="24"/>
        </w:rPr>
        <w:tab/>
        <w:t>- postawy młodzieży wobec rodziny są bardzo pozytywne. Nawet jeśli nie chcą skrupulatnie powielać wzorca swojej  macierzystej rodziny to potrafią wskazać na zwyczaje i tradycje, które chcieliby przenieść do stworzonej przez siebie rodziny;</w:t>
      </w:r>
    </w:p>
    <w:p w:rsidR="00EE1B92" w:rsidRDefault="00EE1B92" w:rsidP="00EE1B92">
      <w:pPr>
        <w:jc w:val="both"/>
        <w:rPr>
          <w:szCs w:val="24"/>
        </w:rPr>
      </w:pPr>
      <w:r>
        <w:rPr>
          <w:szCs w:val="24"/>
        </w:rPr>
        <w:tab/>
        <w:t>- większość ankietowanych opowiada się, że chciałoby zawrzeć nie ślub cywilny, tylko konkordatowy. Dzięki temu możemy zaobserwować ogromny szacunek do wpojonych wartości religijnych przez przekonanie o związku na całe życie zawartym przed Bogiem w Kościele;</w:t>
      </w:r>
    </w:p>
    <w:p w:rsidR="00EE1B92" w:rsidRDefault="00EE1B92" w:rsidP="00EE1B92">
      <w:pPr>
        <w:jc w:val="both"/>
        <w:rPr>
          <w:szCs w:val="24"/>
        </w:rPr>
      </w:pPr>
      <w:r>
        <w:rPr>
          <w:szCs w:val="24"/>
        </w:rPr>
        <w:tab/>
        <w:t>- współcześni młodzi ludzie niezwykle poważnie traktują swoje plany i aspiracje. Konsekwentnie pragną dążyć do zrealizowania swoich pragnień, marzeń. Mają na pewno też  świadomość, że ich spełnienie wymaga nie lada wysiłku, ciągłego samokształcenia, a także własnej aktywności;</w:t>
      </w:r>
    </w:p>
    <w:p w:rsidR="00EE1B92" w:rsidRDefault="00EE1B92" w:rsidP="00EE1B92">
      <w:pPr>
        <w:jc w:val="both"/>
        <w:rPr>
          <w:szCs w:val="24"/>
        </w:rPr>
      </w:pPr>
      <w:r>
        <w:rPr>
          <w:szCs w:val="24"/>
        </w:rPr>
        <w:tab/>
        <w:t>- z odpowiedzi uzyskanych dzięki badaniu dowiadujemy się na jakim etapie życia młodzi ludzie chcieliby podjąć decyzję o małżeństwie. Zdają sobie sprawę z tego, że nie może ona być podjęta zbyt wcześnie i w zbyt młodym wieku. Respondenci są zdania, że chcieliby zdecydować się na małżeństwo po uregulowaniu sytuacji z wykształceniem, z pracą i osiąganiem dochodów;</w:t>
      </w:r>
    </w:p>
    <w:p w:rsidR="00EE1B92" w:rsidRDefault="00EE1B92" w:rsidP="00EE1B92">
      <w:pPr>
        <w:jc w:val="both"/>
        <w:rPr>
          <w:szCs w:val="24"/>
        </w:rPr>
      </w:pPr>
      <w:r>
        <w:rPr>
          <w:szCs w:val="24"/>
        </w:rPr>
        <w:tab/>
        <w:t xml:space="preserve">- respondenci nie potrafią stworzyć obrazu swojej przyszłej rodziny bez uwzględnienia w nim dziecka. Przeważająca część badanych opowiada się za tym, iż pragnie mieć w przyszłości dziecko; </w:t>
      </w:r>
    </w:p>
    <w:p w:rsidR="00EE1B92" w:rsidRDefault="00EE1B92" w:rsidP="00EE1B92">
      <w:pPr>
        <w:jc w:val="both"/>
        <w:rPr>
          <w:szCs w:val="24"/>
        </w:rPr>
      </w:pPr>
      <w:r>
        <w:rPr>
          <w:szCs w:val="24"/>
        </w:rPr>
        <w:tab/>
        <w:t>- badana młodzież w stworzeniu udanego, szczęśliwego małżeństwa ceni sobie przede wszystkim bezpieczeństwo. Tuż za tym czynnikiem znalazła się przyjemna atmosfera oraz chęć posiadania dzieci;</w:t>
      </w:r>
    </w:p>
    <w:p w:rsidR="00EE1B92" w:rsidRDefault="00EE1B92" w:rsidP="00EE1B92">
      <w:pPr>
        <w:jc w:val="both"/>
        <w:rPr>
          <w:szCs w:val="24"/>
        </w:rPr>
      </w:pPr>
      <w:r>
        <w:rPr>
          <w:szCs w:val="24"/>
        </w:rPr>
        <w:tab/>
        <w:t>- analiza badań wskazuje na przekonanie o partnerskim modelu rodziny. Większość badanych chciałoby, aby ich małżeństwo było oparte na współgraniu obojga małżonków, aby wspólnie dzielili się obowiązkami i oboje brali czynny udział w wychowaniu dzieci i całym życiu rodziny;</w:t>
      </w:r>
    </w:p>
    <w:p w:rsidR="00EE1B92" w:rsidRDefault="00EE1B92" w:rsidP="00EE1B92">
      <w:pPr>
        <w:rPr>
          <w:szCs w:val="24"/>
        </w:rPr>
      </w:pPr>
      <w:r>
        <w:rPr>
          <w:szCs w:val="24"/>
        </w:rPr>
        <w:lastRenderedPageBreak/>
        <w:tab/>
        <w:t>- młodzi ludzie na podstawie obserwacji innych rodzin, a także na podstawie doświadczeń zdobytych w swojej rodzinie kształtują wizerunek swojej przyszłej rodziny.</w:t>
      </w:r>
    </w:p>
    <w:p w:rsidR="00EE1B92" w:rsidRPr="00A24847" w:rsidRDefault="00EE1B92" w:rsidP="00A24847">
      <w:pPr>
        <w:spacing w:line="240" w:lineRule="auto"/>
        <w:jc w:val="both"/>
        <w:rPr>
          <w:rFonts w:eastAsia="Times New Roman" w:cs="Times New Roman"/>
          <w:sz w:val="16"/>
          <w:szCs w:val="16"/>
          <w:lang w:eastAsia="pl-PL"/>
        </w:rPr>
      </w:pPr>
    </w:p>
    <w:sectPr w:rsidR="00EE1B92" w:rsidRPr="00A24847" w:rsidSect="005400F2">
      <w:headerReference w:type="even" r:id="rId17"/>
      <w:headerReference w:type="default" r:id="rId18"/>
      <w:footerReference w:type="even" r:id="rId19"/>
      <w:footerReference w:type="default" r:id="rId20"/>
      <w:headerReference w:type="first" r:id="rId21"/>
      <w:footerReference w:type="first" r:id="rId22"/>
      <w:pgSz w:w="11906" w:h="16838"/>
      <w:pgMar w:top="1418" w:right="1418" w:bottom="1418" w:left="1985" w:header="708" w:footer="708" w:gutter="0"/>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236" w:rsidRDefault="00D20236" w:rsidP="00A24847">
      <w:pPr>
        <w:spacing w:line="240" w:lineRule="auto"/>
      </w:pPr>
      <w:r>
        <w:separator/>
      </w:r>
    </w:p>
  </w:endnote>
  <w:endnote w:type="continuationSeparator" w:id="0">
    <w:p w:rsidR="00D20236" w:rsidRDefault="00D20236" w:rsidP="00A24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23" w:rsidRDefault="001B182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305182"/>
      <w:docPartObj>
        <w:docPartGallery w:val="Page Numbers (Bottom of Page)"/>
        <w:docPartUnique/>
      </w:docPartObj>
    </w:sdtPr>
    <w:sdtEndPr>
      <w:rPr>
        <w:noProof/>
      </w:rPr>
    </w:sdtEndPr>
    <w:sdtContent>
      <w:p w:rsidR="00F43DB6" w:rsidRDefault="00F43DB6">
        <w:pPr>
          <w:pStyle w:val="Stopka"/>
          <w:jc w:val="right"/>
        </w:pPr>
        <w:r>
          <w:fldChar w:fldCharType="begin"/>
        </w:r>
        <w:r>
          <w:instrText xml:space="preserve"> PAGE   \* MERGEFORMAT </w:instrText>
        </w:r>
        <w:r>
          <w:fldChar w:fldCharType="separate"/>
        </w:r>
        <w:r w:rsidR="00675F13">
          <w:rPr>
            <w:noProof/>
          </w:rPr>
          <w:t>42</w:t>
        </w:r>
        <w:r>
          <w:rPr>
            <w:noProof/>
          </w:rPr>
          <w:fldChar w:fldCharType="end"/>
        </w:r>
      </w:p>
    </w:sdtContent>
  </w:sdt>
  <w:p w:rsidR="00F43DB6" w:rsidRDefault="00F43DB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23" w:rsidRDefault="001B18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236" w:rsidRDefault="00D20236" w:rsidP="00A24847">
      <w:pPr>
        <w:spacing w:line="240" w:lineRule="auto"/>
      </w:pPr>
      <w:r>
        <w:separator/>
      </w:r>
    </w:p>
  </w:footnote>
  <w:footnote w:type="continuationSeparator" w:id="0">
    <w:p w:rsidR="00D20236" w:rsidRDefault="00D20236" w:rsidP="00A24847">
      <w:pPr>
        <w:spacing w:line="240" w:lineRule="auto"/>
      </w:pPr>
      <w:r>
        <w:continuationSeparator/>
      </w:r>
    </w:p>
  </w:footnote>
  <w:footnote w:id="1">
    <w:p w:rsidR="00F43DB6" w:rsidRDefault="00F43DB6" w:rsidP="004959DC">
      <w:pPr>
        <w:pStyle w:val="Tekstprzypisudolnego"/>
        <w:spacing w:line="360" w:lineRule="auto"/>
      </w:pPr>
      <w:r>
        <w:rPr>
          <w:rStyle w:val="Odwoanieprzypisudolnego"/>
        </w:rPr>
        <w:footnoteRef/>
      </w:r>
      <w:r>
        <w:t xml:space="preserve"> E. Fromm, </w:t>
      </w:r>
      <w:r w:rsidRPr="00EC44EB">
        <w:rPr>
          <w:i/>
        </w:rPr>
        <w:t>Anatomia ludzkiej destrukcyjności</w:t>
      </w:r>
      <w:r>
        <w:t>, Poznań 2002, s. 155.</w:t>
      </w:r>
    </w:p>
  </w:footnote>
  <w:footnote w:id="2">
    <w:p w:rsidR="00F43DB6" w:rsidRDefault="00F43DB6" w:rsidP="004959DC">
      <w:pPr>
        <w:pStyle w:val="Tekstprzypisudolnego"/>
        <w:spacing w:line="360" w:lineRule="auto"/>
      </w:pPr>
      <w:r>
        <w:rPr>
          <w:rStyle w:val="Odwoanieprzypisudolnego"/>
        </w:rPr>
        <w:footnoteRef/>
      </w:r>
      <w:r>
        <w:t xml:space="preserve"> H. Pietrzak, </w:t>
      </w:r>
      <w:r w:rsidRPr="00EC44EB">
        <w:rPr>
          <w:i/>
        </w:rPr>
        <w:t>Agresja, konflikt, społeczeństwo</w:t>
      </w:r>
      <w:r>
        <w:t>, Tyczyn 2000, s. 52.</w:t>
      </w:r>
    </w:p>
  </w:footnote>
  <w:footnote w:id="3">
    <w:p w:rsidR="00F43DB6" w:rsidRDefault="00F43DB6" w:rsidP="004959DC">
      <w:pPr>
        <w:pStyle w:val="Tekstprzypisudolnego"/>
        <w:spacing w:line="360" w:lineRule="auto"/>
      </w:pPr>
      <w:r>
        <w:rPr>
          <w:rStyle w:val="Odwoanieprzypisudolnego"/>
        </w:rPr>
        <w:footnoteRef/>
      </w:r>
      <w:r>
        <w:t xml:space="preserve"> F. Minirth, P. Meier, S. Arterburn, </w:t>
      </w:r>
      <w:r w:rsidRPr="00EC44EB">
        <w:rPr>
          <w:i/>
        </w:rPr>
        <w:t>W stronę wartości-encyklopedyczny poradnik życia rodzinnego</w:t>
      </w:r>
      <w:r>
        <w:t>, Warszawa 1998, s. 96.</w:t>
      </w:r>
    </w:p>
  </w:footnote>
  <w:footnote w:id="4">
    <w:p w:rsidR="00F43DB6" w:rsidRDefault="00F43DB6" w:rsidP="004959DC">
      <w:pPr>
        <w:pStyle w:val="Tekstprzypisudolnego"/>
        <w:spacing w:line="360" w:lineRule="auto"/>
      </w:pPr>
      <w:r>
        <w:rPr>
          <w:rStyle w:val="Odwoanieprzypisudolnego"/>
        </w:rPr>
        <w:footnoteRef/>
      </w:r>
      <w:r>
        <w:t xml:space="preserve"> H. Pietrzak, dz. cyt., s.52.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23" w:rsidRDefault="001B182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23" w:rsidRDefault="001B182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23" w:rsidRDefault="001B182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97F27"/>
    <w:multiLevelType w:val="hybridMultilevel"/>
    <w:tmpl w:val="75C8D4F4"/>
    <w:lvl w:ilvl="0" w:tplc="E3A8429A">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3DA710D"/>
    <w:multiLevelType w:val="hybridMultilevel"/>
    <w:tmpl w:val="4CFE3D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847"/>
    <w:rsid w:val="00021CF5"/>
    <w:rsid w:val="00130AAA"/>
    <w:rsid w:val="001A3D1E"/>
    <w:rsid w:val="001B1823"/>
    <w:rsid w:val="00276163"/>
    <w:rsid w:val="00302F42"/>
    <w:rsid w:val="004208AF"/>
    <w:rsid w:val="00486CD5"/>
    <w:rsid w:val="004959DC"/>
    <w:rsid w:val="005400F2"/>
    <w:rsid w:val="0063752F"/>
    <w:rsid w:val="00675F13"/>
    <w:rsid w:val="006A6AFC"/>
    <w:rsid w:val="006B4DC0"/>
    <w:rsid w:val="00781C93"/>
    <w:rsid w:val="0078452F"/>
    <w:rsid w:val="007B73A9"/>
    <w:rsid w:val="007D4275"/>
    <w:rsid w:val="008F2701"/>
    <w:rsid w:val="00962600"/>
    <w:rsid w:val="009A1364"/>
    <w:rsid w:val="00A24847"/>
    <w:rsid w:val="00AB5FB0"/>
    <w:rsid w:val="00AD19AC"/>
    <w:rsid w:val="00B25C73"/>
    <w:rsid w:val="00B724A2"/>
    <w:rsid w:val="00B73D47"/>
    <w:rsid w:val="00B9090E"/>
    <w:rsid w:val="00BB2BE0"/>
    <w:rsid w:val="00BE2721"/>
    <w:rsid w:val="00C271BD"/>
    <w:rsid w:val="00C547F7"/>
    <w:rsid w:val="00D01602"/>
    <w:rsid w:val="00D20236"/>
    <w:rsid w:val="00E46F77"/>
    <w:rsid w:val="00EE1B92"/>
    <w:rsid w:val="00F0308B"/>
    <w:rsid w:val="00F43DB6"/>
    <w:rsid w:val="00FE69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1CF5"/>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4847"/>
    <w:pPr>
      <w:tabs>
        <w:tab w:val="center" w:pos="4536"/>
        <w:tab w:val="right" w:pos="9072"/>
      </w:tabs>
      <w:spacing w:line="240" w:lineRule="auto"/>
    </w:pPr>
  </w:style>
  <w:style w:type="character" w:customStyle="1" w:styleId="NagwekZnak">
    <w:name w:val="Nagłówek Znak"/>
    <w:basedOn w:val="Domylnaczcionkaakapitu"/>
    <w:link w:val="Nagwek"/>
    <w:uiPriority w:val="99"/>
    <w:rsid w:val="00A24847"/>
    <w:rPr>
      <w:rFonts w:ascii="Times New Roman" w:hAnsi="Times New Roman"/>
      <w:sz w:val="24"/>
    </w:rPr>
  </w:style>
  <w:style w:type="paragraph" w:styleId="Stopka">
    <w:name w:val="footer"/>
    <w:basedOn w:val="Normalny"/>
    <w:link w:val="StopkaZnak"/>
    <w:uiPriority w:val="99"/>
    <w:unhideWhenUsed/>
    <w:rsid w:val="00A24847"/>
    <w:pPr>
      <w:tabs>
        <w:tab w:val="center" w:pos="4536"/>
        <w:tab w:val="right" w:pos="9072"/>
      </w:tabs>
      <w:spacing w:line="240" w:lineRule="auto"/>
    </w:pPr>
  </w:style>
  <w:style w:type="character" w:customStyle="1" w:styleId="StopkaZnak">
    <w:name w:val="Stopka Znak"/>
    <w:basedOn w:val="Domylnaczcionkaakapitu"/>
    <w:link w:val="Stopka"/>
    <w:uiPriority w:val="99"/>
    <w:rsid w:val="00A24847"/>
    <w:rPr>
      <w:rFonts w:ascii="Times New Roman" w:hAnsi="Times New Roman"/>
      <w:sz w:val="24"/>
    </w:rPr>
  </w:style>
  <w:style w:type="paragraph" w:styleId="Tekstprzypisudolnego">
    <w:name w:val="footnote text"/>
    <w:basedOn w:val="Normalny"/>
    <w:link w:val="TekstprzypisudolnegoZnak"/>
    <w:uiPriority w:val="99"/>
    <w:semiHidden/>
    <w:unhideWhenUsed/>
    <w:rsid w:val="00A24847"/>
    <w:pPr>
      <w:widowControl w:val="0"/>
      <w:autoSpaceDN w:val="0"/>
      <w:adjustRightInd w:val="0"/>
      <w:spacing w:line="240" w:lineRule="auto"/>
    </w:pPr>
    <w:rPr>
      <w:rFonts w:eastAsia="Arial Unicode MS" w:cs="Tahoma"/>
      <w:sz w:val="20"/>
      <w:szCs w:val="20"/>
      <w:lang w:eastAsia="pl-PL"/>
    </w:rPr>
  </w:style>
  <w:style w:type="character" w:customStyle="1" w:styleId="TekstprzypisudolnegoZnak">
    <w:name w:val="Tekst przypisu dolnego Znak"/>
    <w:basedOn w:val="Domylnaczcionkaakapitu"/>
    <w:link w:val="Tekstprzypisudolnego"/>
    <w:uiPriority w:val="99"/>
    <w:semiHidden/>
    <w:rsid w:val="00A24847"/>
    <w:rPr>
      <w:rFonts w:ascii="Times New Roman" w:eastAsia="Arial Unicode MS" w:hAnsi="Times New Roman" w:cs="Tahoma"/>
      <w:sz w:val="20"/>
      <w:szCs w:val="20"/>
      <w:lang w:eastAsia="pl-PL"/>
    </w:rPr>
  </w:style>
  <w:style w:type="character" w:styleId="Odwoanieprzypisudolnego">
    <w:name w:val="footnote reference"/>
    <w:basedOn w:val="Domylnaczcionkaakapitu"/>
    <w:uiPriority w:val="99"/>
    <w:semiHidden/>
    <w:unhideWhenUsed/>
    <w:rsid w:val="00A24847"/>
    <w:rPr>
      <w:vertAlign w:val="superscript"/>
    </w:rPr>
  </w:style>
  <w:style w:type="table" w:styleId="Tabela-Siatka">
    <w:name w:val="Table Grid"/>
    <w:basedOn w:val="Standardowy"/>
    <w:uiPriority w:val="59"/>
    <w:rsid w:val="00A2484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2484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4847"/>
    <w:rPr>
      <w:rFonts w:ascii="Tahoma" w:hAnsi="Tahoma" w:cs="Tahoma"/>
      <w:sz w:val="16"/>
      <w:szCs w:val="16"/>
    </w:rPr>
  </w:style>
  <w:style w:type="character" w:customStyle="1" w:styleId="TekstprzypisukocowegoZnak">
    <w:name w:val="Tekst przypisu końcowego Znak"/>
    <w:basedOn w:val="Domylnaczcionkaakapitu"/>
    <w:link w:val="Tekstprzypisukocowego"/>
    <w:uiPriority w:val="99"/>
    <w:semiHidden/>
    <w:rsid w:val="00A24847"/>
    <w:rPr>
      <w:rFonts w:ascii="Times New Roman" w:hAnsi="Times New Roman"/>
      <w:sz w:val="20"/>
      <w:szCs w:val="20"/>
    </w:rPr>
  </w:style>
  <w:style w:type="paragraph" w:styleId="Tekstprzypisukocowego">
    <w:name w:val="endnote text"/>
    <w:basedOn w:val="Normalny"/>
    <w:link w:val="TekstprzypisukocowegoZnak"/>
    <w:uiPriority w:val="99"/>
    <w:semiHidden/>
    <w:unhideWhenUsed/>
    <w:rsid w:val="00A24847"/>
    <w:pPr>
      <w:spacing w:line="240" w:lineRule="auto"/>
    </w:pPr>
    <w:rPr>
      <w:sz w:val="20"/>
      <w:szCs w:val="20"/>
    </w:rPr>
  </w:style>
  <w:style w:type="paragraph" w:styleId="Akapitzlist">
    <w:name w:val="List Paragraph"/>
    <w:basedOn w:val="Normalny"/>
    <w:uiPriority w:val="99"/>
    <w:qFormat/>
    <w:rsid w:val="00D016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1CF5"/>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4847"/>
    <w:pPr>
      <w:tabs>
        <w:tab w:val="center" w:pos="4536"/>
        <w:tab w:val="right" w:pos="9072"/>
      </w:tabs>
      <w:spacing w:line="240" w:lineRule="auto"/>
    </w:pPr>
  </w:style>
  <w:style w:type="character" w:customStyle="1" w:styleId="NagwekZnak">
    <w:name w:val="Nagłówek Znak"/>
    <w:basedOn w:val="Domylnaczcionkaakapitu"/>
    <w:link w:val="Nagwek"/>
    <w:uiPriority w:val="99"/>
    <w:rsid w:val="00A24847"/>
    <w:rPr>
      <w:rFonts w:ascii="Times New Roman" w:hAnsi="Times New Roman"/>
      <w:sz w:val="24"/>
    </w:rPr>
  </w:style>
  <w:style w:type="paragraph" w:styleId="Stopka">
    <w:name w:val="footer"/>
    <w:basedOn w:val="Normalny"/>
    <w:link w:val="StopkaZnak"/>
    <w:uiPriority w:val="99"/>
    <w:unhideWhenUsed/>
    <w:rsid w:val="00A24847"/>
    <w:pPr>
      <w:tabs>
        <w:tab w:val="center" w:pos="4536"/>
        <w:tab w:val="right" w:pos="9072"/>
      </w:tabs>
      <w:spacing w:line="240" w:lineRule="auto"/>
    </w:pPr>
  </w:style>
  <w:style w:type="character" w:customStyle="1" w:styleId="StopkaZnak">
    <w:name w:val="Stopka Znak"/>
    <w:basedOn w:val="Domylnaczcionkaakapitu"/>
    <w:link w:val="Stopka"/>
    <w:uiPriority w:val="99"/>
    <w:rsid w:val="00A24847"/>
    <w:rPr>
      <w:rFonts w:ascii="Times New Roman" w:hAnsi="Times New Roman"/>
      <w:sz w:val="24"/>
    </w:rPr>
  </w:style>
  <w:style w:type="paragraph" w:styleId="Tekstprzypisudolnego">
    <w:name w:val="footnote text"/>
    <w:basedOn w:val="Normalny"/>
    <w:link w:val="TekstprzypisudolnegoZnak"/>
    <w:uiPriority w:val="99"/>
    <w:semiHidden/>
    <w:unhideWhenUsed/>
    <w:rsid w:val="00A24847"/>
    <w:pPr>
      <w:widowControl w:val="0"/>
      <w:autoSpaceDN w:val="0"/>
      <w:adjustRightInd w:val="0"/>
      <w:spacing w:line="240" w:lineRule="auto"/>
    </w:pPr>
    <w:rPr>
      <w:rFonts w:eastAsia="Arial Unicode MS" w:cs="Tahoma"/>
      <w:sz w:val="20"/>
      <w:szCs w:val="20"/>
      <w:lang w:eastAsia="pl-PL"/>
    </w:rPr>
  </w:style>
  <w:style w:type="character" w:customStyle="1" w:styleId="TekstprzypisudolnegoZnak">
    <w:name w:val="Tekst przypisu dolnego Znak"/>
    <w:basedOn w:val="Domylnaczcionkaakapitu"/>
    <w:link w:val="Tekstprzypisudolnego"/>
    <w:uiPriority w:val="99"/>
    <w:semiHidden/>
    <w:rsid w:val="00A24847"/>
    <w:rPr>
      <w:rFonts w:ascii="Times New Roman" w:eastAsia="Arial Unicode MS" w:hAnsi="Times New Roman" w:cs="Tahoma"/>
      <w:sz w:val="20"/>
      <w:szCs w:val="20"/>
      <w:lang w:eastAsia="pl-PL"/>
    </w:rPr>
  </w:style>
  <w:style w:type="character" w:styleId="Odwoanieprzypisudolnego">
    <w:name w:val="footnote reference"/>
    <w:basedOn w:val="Domylnaczcionkaakapitu"/>
    <w:uiPriority w:val="99"/>
    <w:semiHidden/>
    <w:unhideWhenUsed/>
    <w:rsid w:val="00A24847"/>
    <w:rPr>
      <w:vertAlign w:val="superscript"/>
    </w:rPr>
  </w:style>
  <w:style w:type="table" w:styleId="Tabela-Siatka">
    <w:name w:val="Table Grid"/>
    <w:basedOn w:val="Standardowy"/>
    <w:uiPriority w:val="59"/>
    <w:rsid w:val="00A2484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2484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4847"/>
    <w:rPr>
      <w:rFonts w:ascii="Tahoma" w:hAnsi="Tahoma" w:cs="Tahoma"/>
      <w:sz w:val="16"/>
      <w:szCs w:val="16"/>
    </w:rPr>
  </w:style>
  <w:style w:type="character" w:customStyle="1" w:styleId="TekstprzypisukocowegoZnak">
    <w:name w:val="Tekst przypisu końcowego Znak"/>
    <w:basedOn w:val="Domylnaczcionkaakapitu"/>
    <w:link w:val="Tekstprzypisukocowego"/>
    <w:uiPriority w:val="99"/>
    <w:semiHidden/>
    <w:rsid w:val="00A24847"/>
    <w:rPr>
      <w:rFonts w:ascii="Times New Roman" w:hAnsi="Times New Roman"/>
      <w:sz w:val="20"/>
      <w:szCs w:val="20"/>
    </w:rPr>
  </w:style>
  <w:style w:type="paragraph" w:styleId="Tekstprzypisukocowego">
    <w:name w:val="endnote text"/>
    <w:basedOn w:val="Normalny"/>
    <w:link w:val="TekstprzypisukocowegoZnak"/>
    <w:uiPriority w:val="99"/>
    <w:semiHidden/>
    <w:unhideWhenUsed/>
    <w:rsid w:val="00A24847"/>
    <w:pPr>
      <w:spacing w:line="240" w:lineRule="auto"/>
    </w:pPr>
    <w:rPr>
      <w:sz w:val="20"/>
      <w:szCs w:val="20"/>
    </w:rPr>
  </w:style>
  <w:style w:type="paragraph" w:styleId="Akapitzlist">
    <w:name w:val="List Paragraph"/>
    <w:basedOn w:val="Normalny"/>
    <w:uiPriority w:val="99"/>
    <w:qFormat/>
    <w:rsid w:val="00D016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747225">
      <w:bodyDiv w:val="1"/>
      <w:marLeft w:val="0"/>
      <w:marRight w:val="0"/>
      <w:marTop w:val="0"/>
      <w:marBottom w:val="0"/>
      <w:divBdr>
        <w:top w:val="none" w:sz="0" w:space="0" w:color="auto"/>
        <w:left w:val="none" w:sz="0" w:space="0" w:color="auto"/>
        <w:bottom w:val="none" w:sz="0" w:space="0" w:color="auto"/>
        <w:right w:val="none" w:sz="0" w:space="0" w:color="auto"/>
      </w:divBdr>
    </w:div>
    <w:div w:id="77564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20"/>
    </mc:Choice>
    <mc:Fallback>
      <c:style val="20"/>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Seria 1</c:v>
                </c:pt>
              </c:strCache>
            </c:strRef>
          </c:tx>
          <c:invertIfNegative val="0"/>
          <c:cat>
            <c:strRef>
              <c:f>Arkusz1!$A$2:$A$3</c:f>
              <c:strCache>
                <c:ptCount val="2"/>
                <c:pt idx="0">
                  <c:v>w szkole podstawowej</c:v>
                </c:pt>
                <c:pt idx="1">
                  <c:v>w gimnazjum</c:v>
                </c:pt>
              </c:strCache>
            </c:strRef>
          </c:cat>
          <c:val>
            <c:numRef>
              <c:f>Arkusz1!$B$2:$B$3</c:f>
              <c:numCache>
                <c:formatCode>0%</c:formatCode>
                <c:ptCount val="2"/>
                <c:pt idx="0">
                  <c:v>0.25</c:v>
                </c:pt>
                <c:pt idx="1">
                  <c:v>0.17</c:v>
                </c:pt>
              </c:numCache>
            </c:numRef>
          </c:val>
        </c:ser>
        <c:dLbls>
          <c:showLegendKey val="0"/>
          <c:showVal val="1"/>
          <c:showCatName val="0"/>
          <c:showSerName val="0"/>
          <c:showPercent val="0"/>
          <c:showBubbleSize val="0"/>
        </c:dLbls>
        <c:gapWidth val="75"/>
        <c:axId val="169389056"/>
        <c:axId val="169849600"/>
      </c:barChart>
      <c:catAx>
        <c:axId val="169389056"/>
        <c:scaling>
          <c:orientation val="minMax"/>
        </c:scaling>
        <c:delete val="0"/>
        <c:axPos val="b"/>
        <c:majorTickMark val="none"/>
        <c:minorTickMark val="none"/>
        <c:tickLblPos val="nextTo"/>
        <c:crossAx val="169849600"/>
        <c:crosses val="autoZero"/>
        <c:auto val="1"/>
        <c:lblAlgn val="ctr"/>
        <c:lblOffset val="100"/>
        <c:noMultiLvlLbl val="0"/>
      </c:catAx>
      <c:valAx>
        <c:axId val="169849600"/>
        <c:scaling>
          <c:orientation val="minMax"/>
        </c:scaling>
        <c:delete val="0"/>
        <c:axPos val="l"/>
        <c:numFmt formatCode="0%" sourceLinked="1"/>
        <c:majorTickMark val="none"/>
        <c:minorTickMark val="none"/>
        <c:tickLblPos val="nextTo"/>
        <c:crossAx val="169389056"/>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Arkusz1!$B$1</c:f>
              <c:strCache>
                <c:ptCount val="1"/>
                <c:pt idx="0">
                  <c:v>Sprzedaż</c:v>
                </c:pt>
              </c:strCache>
            </c:strRef>
          </c:tx>
          <c:explosion val="25"/>
          <c:dLbls>
            <c:showLegendKey val="0"/>
            <c:showVal val="0"/>
            <c:showCatName val="0"/>
            <c:showSerName val="0"/>
            <c:showPercent val="1"/>
            <c:showBubbleSize val="0"/>
            <c:showLeaderLines val="1"/>
          </c:dLbls>
          <c:cat>
            <c:strRef>
              <c:f>Arkusz1!$A$2:$A$7</c:f>
              <c:strCache>
                <c:ptCount val="6"/>
                <c:pt idx="0">
                  <c:v>Celująca</c:v>
                </c:pt>
                <c:pt idx="1">
                  <c:v>Bardzo dobra</c:v>
                </c:pt>
                <c:pt idx="2">
                  <c:v>Dobra</c:v>
                </c:pt>
                <c:pt idx="3">
                  <c:v>Dostateczna</c:v>
                </c:pt>
                <c:pt idx="4">
                  <c:v>Dopuszczająca</c:v>
                </c:pt>
                <c:pt idx="5">
                  <c:v>Niedostateczna</c:v>
                </c:pt>
              </c:strCache>
            </c:strRef>
          </c:cat>
          <c:val>
            <c:numRef>
              <c:f>Arkusz1!$B$2:$B$7</c:f>
              <c:numCache>
                <c:formatCode>0%</c:formatCode>
                <c:ptCount val="6"/>
                <c:pt idx="0">
                  <c:v>0</c:v>
                </c:pt>
                <c:pt idx="1">
                  <c:v>0.14000000000000001</c:v>
                </c:pt>
                <c:pt idx="2">
                  <c:v>0.22</c:v>
                </c:pt>
                <c:pt idx="3">
                  <c:v>0.34</c:v>
                </c:pt>
                <c:pt idx="4">
                  <c:v>0.3</c:v>
                </c:pt>
                <c:pt idx="5">
                  <c:v>0</c:v>
                </c:pt>
              </c:numCache>
            </c:numRef>
          </c:val>
        </c:ser>
        <c:dLbls>
          <c:showLegendKey val="0"/>
          <c:showVal val="0"/>
          <c:showCatName val="0"/>
          <c:showSerName val="0"/>
          <c:showPercent val="1"/>
          <c:showBubbleSize val="0"/>
          <c:showLeaderLines val="1"/>
        </c:dLbls>
      </c:pie3DChart>
    </c:plotArea>
    <c:legend>
      <c:legendPos val="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Arkusz1!$B$1</c:f>
              <c:strCache>
                <c:ptCount val="1"/>
                <c:pt idx="0">
                  <c:v>Sprzedaż</c:v>
                </c:pt>
              </c:strCache>
            </c:strRef>
          </c:tx>
          <c:explosion val="25"/>
          <c:dLbls>
            <c:showLegendKey val="0"/>
            <c:showVal val="0"/>
            <c:showCatName val="0"/>
            <c:showSerName val="0"/>
            <c:showPercent val="1"/>
            <c:showBubbleSize val="0"/>
            <c:showLeaderLines val="1"/>
          </c:dLbls>
          <c:cat>
            <c:strRef>
              <c:f>Arkusz1!$A$2:$A$6</c:f>
              <c:strCache>
                <c:ptCount val="5"/>
                <c:pt idx="0">
                  <c:v>nadmiernie ruchliwy</c:v>
                </c:pt>
                <c:pt idx="1">
                  <c:v>ospały, nieaktywny</c:v>
                </c:pt>
                <c:pt idx="2">
                  <c:v>bierny</c:v>
                </c:pt>
                <c:pt idx="3">
                  <c:v>nbardzo zahamowany</c:v>
                </c:pt>
                <c:pt idx="4">
                  <c:v>nieśmiały</c:v>
                </c:pt>
              </c:strCache>
            </c:strRef>
          </c:cat>
          <c:val>
            <c:numRef>
              <c:f>Arkusz1!$B$2:$B$6</c:f>
              <c:numCache>
                <c:formatCode>0%</c:formatCode>
                <c:ptCount val="5"/>
                <c:pt idx="0">
                  <c:v>0.12</c:v>
                </c:pt>
                <c:pt idx="1">
                  <c:v>0.24</c:v>
                </c:pt>
                <c:pt idx="2">
                  <c:v>0.32</c:v>
                </c:pt>
                <c:pt idx="3">
                  <c:v>0.22</c:v>
                </c:pt>
                <c:pt idx="4">
                  <c:v>0.1</c:v>
                </c:pt>
              </c:numCache>
            </c:numRef>
          </c:val>
        </c:ser>
        <c:dLbls>
          <c:showLegendKey val="0"/>
          <c:showVal val="0"/>
          <c:showCatName val="0"/>
          <c:showSerName val="0"/>
          <c:showPercent val="1"/>
          <c:showBubbleSize val="0"/>
          <c:showLeaderLines val="1"/>
        </c:dLbls>
      </c:pie3DChart>
    </c:plotArea>
    <c:legend>
      <c:legendPos val="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Sprzedaż</c:v>
                </c:pt>
              </c:strCache>
            </c:strRef>
          </c:tx>
          <c:invertIfNegative val="0"/>
          <c:dLbls>
            <c:showLegendKey val="0"/>
            <c:showVal val="1"/>
            <c:showCatName val="0"/>
            <c:showSerName val="0"/>
            <c:showPercent val="0"/>
            <c:showBubbleSize val="0"/>
            <c:showLeaderLines val="0"/>
          </c:dLbls>
          <c:cat>
            <c:strRef>
              <c:f>Arkusz1!$A$2:$A$6</c:f>
              <c:strCache>
                <c:ptCount val="5"/>
                <c:pt idx="0">
                  <c:v>Kradzieże</c:v>
                </c:pt>
                <c:pt idx="1">
                  <c:v>Chuligaństwo</c:v>
                </c:pt>
                <c:pt idx="2">
                  <c:v>Palenie papierosów</c:v>
                </c:pt>
                <c:pt idx="3">
                  <c:v>Picie alkoholu</c:v>
                </c:pt>
                <c:pt idx="4">
                  <c:v>Wagary</c:v>
                </c:pt>
              </c:strCache>
            </c:strRef>
          </c:cat>
          <c:val>
            <c:numRef>
              <c:f>Arkusz1!$B$2:$B$6</c:f>
              <c:numCache>
                <c:formatCode>0%</c:formatCode>
                <c:ptCount val="5"/>
                <c:pt idx="0">
                  <c:v>0</c:v>
                </c:pt>
                <c:pt idx="1">
                  <c:v>0.12</c:v>
                </c:pt>
                <c:pt idx="2">
                  <c:v>0.66</c:v>
                </c:pt>
                <c:pt idx="3">
                  <c:v>0.32</c:v>
                </c:pt>
                <c:pt idx="4">
                  <c:v>0.76</c:v>
                </c:pt>
              </c:numCache>
            </c:numRef>
          </c:val>
        </c:ser>
        <c:dLbls>
          <c:showLegendKey val="0"/>
          <c:showVal val="0"/>
          <c:showCatName val="0"/>
          <c:showSerName val="0"/>
          <c:showPercent val="0"/>
          <c:showBubbleSize val="0"/>
        </c:dLbls>
        <c:gapWidth val="100"/>
        <c:axId val="169820928"/>
        <c:axId val="169822464"/>
      </c:barChart>
      <c:catAx>
        <c:axId val="169820928"/>
        <c:scaling>
          <c:orientation val="minMax"/>
        </c:scaling>
        <c:delete val="0"/>
        <c:axPos val="b"/>
        <c:majorTickMark val="out"/>
        <c:minorTickMark val="none"/>
        <c:tickLblPos val="nextTo"/>
        <c:crossAx val="169822464"/>
        <c:crosses val="autoZero"/>
        <c:auto val="1"/>
        <c:lblAlgn val="ctr"/>
        <c:lblOffset val="100"/>
        <c:noMultiLvlLbl val="0"/>
      </c:catAx>
      <c:valAx>
        <c:axId val="169822464"/>
        <c:scaling>
          <c:orientation val="minMax"/>
        </c:scaling>
        <c:delete val="0"/>
        <c:axPos val="l"/>
        <c:majorGridlines/>
        <c:numFmt formatCode="0%" sourceLinked="1"/>
        <c:majorTickMark val="out"/>
        <c:minorTickMark val="none"/>
        <c:tickLblPos val="nextTo"/>
        <c:crossAx val="169820928"/>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Arkusz1!$B$1</c:f>
              <c:strCache>
                <c:ptCount val="1"/>
                <c:pt idx="0">
                  <c:v>Sprzedaż</c:v>
                </c:pt>
              </c:strCache>
            </c:strRef>
          </c:tx>
          <c:explosion val="25"/>
          <c:dLbls>
            <c:showLegendKey val="0"/>
            <c:showVal val="0"/>
            <c:showCatName val="0"/>
            <c:showSerName val="0"/>
            <c:showPercent val="1"/>
            <c:showBubbleSize val="0"/>
            <c:showLeaderLines val="1"/>
          </c:dLbls>
          <c:cat>
            <c:strRef>
              <c:f>Arkusz1!$A$2:$A$6</c:f>
              <c:strCache>
                <c:ptCount val="5"/>
                <c:pt idx="0">
                  <c:v>1-4 razy w tygodniu</c:v>
                </c:pt>
                <c:pt idx="1">
                  <c:v>1-8 razy w tygodniu</c:v>
                </c:pt>
                <c:pt idx="2">
                  <c:v>1-4 razy na dwa miesiące</c:v>
                </c:pt>
                <c:pt idx="3">
                  <c:v>1-4 razy w semestrze</c:v>
                </c:pt>
                <c:pt idx="4">
                  <c:v>1-4 razy w roku</c:v>
                </c:pt>
              </c:strCache>
            </c:strRef>
          </c:cat>
          <c:val>
            <c:numRef>
              <c:f>Arkusz1!$B$2:$B$6</c:f>
              <c:numCache>
                <c:formatCode>0%</c:formatCode>
                <c:ptCount val="5"/>
                <c:pt idx="0">
                  <c:v>0.05</c:v>
                </c:pt>
                <c:pt idx="1">
                  <c:v>0.06</c:v>
                </c:pt>
                <c:pt idx="2">
                  <c:v>0.44</c:v>
                </c:pt>
                <c:pt idx="3">
                  <c:v>0.35</c:v>
                </c:pt>
                <c:pt idx="4">
                  <c:v>0.1</c:v>
                </c:pt>
              </c:numCache>
            </c:numRef>
          </c:val>
        </c:ser>
        <c:dLbls>
          <c:showLegendKey val="0"/>
          <c:showVal val="0"/>
          <c:showCatName val="0"/>
          <c:showSerName val="0"/>
          <c:showPercent val="1"/>
          <c:showBubbleSize val="0"/>
          <c:showLeaderLines val="1"/>
        </c:dLbls>
      </c:pie3DChart>
    </c:plotArea>
    <c:legend>
      <c:legendPos val="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Sprzedaż</c:v>
                </c:pt>
              </c:strCache>
            </c:strRef>
          </c:tx>
          <c:invertIfNegative val="0"/>
          <c:dLbls>
            <c:showLegendKey val="0"/>
            <c:showVal val="1"/>
            <c:showCatName val="0"/>
            <c:showSerName val="0"/>
            <c:showPercent val="0"/>
            <c:showBubbleSize val="0"/>
            <c:showLeaderLines val="0"/>
          </c:dLbls>
          <c:cat>
            <c:strRef>
              <c:f>Arkusz1!$A$2:$A$3</c:f>
              <c:strCache>
                <c:ptCount val="2"/>
                <c:pt idx="0">
                  <c:v>bierna</c:v>
                </c:pt>
                <c:pt idx="1">
                  <c:v>czynna</c:v>
                </c:pt>
              </c:strCache>
            </c:strRef>
          </c:cat>
          <c:val>
            <c:numRef>
              <c:f>Arkusz1!$B$2:$B$3</c:f>
              <c:numCache>
                <c:formatCode>0%</c:formatCode>
                <c:ptCount val="2"/>
                <c:pt idx="0">
                  <c:v>0.12</c:v>
                </c:pt>
                <c:pt idx="1">
                  <c:v>0.04</c:v>
                </c:pt>
              </c:numCache>
            </c:numRef>
          </c:val>
        </c:ser>
        <c:dLbls>
          <c:showLegendKey val="0"/>
          <c:showVal val="0"/>
          <c:showCatName val="0"/>
          <c:showSerName val="0"/>
          <c:showPercent val="0"/>
          <c:showBubbleSize val="0"/>
        </c:dLbls>
        <c:gapWidth val="100"/>
        <c:axId val="182894976"/>
        <c:axId val="182896512"/>
      </c:barChart>
      <c:catAx>
        <c:axId val="182894976"/>
        <c:scaling>
          <c:orientation val="minMax"/>
        </c:scaling>
        <c:delete val="0"/>
        <c:axPos val="b"/>
        <c:majorTickMark val="out"/>
        <c:minorTickMark val="none"/>
        <c:tickLblPos val="nextTo"/>
        <c:crossAx val="182896512"/>
        <c:crosses val="autoZero"/>
        <c:auto val="1"/>
        <c:lblAlgn val="ctr"/>
        <c:lblOffset val="100"/>
        <c:noMultiLvlLbl val="0"/>
      </c:catAx>
      <c:valAx>
        <c:axId val="182896512"/>
        <c:scaling>
          <c:orientation val="minMax"/>
        </c:scaling>
        <c:delete val="0"/>
        <c:axPos val="l"/>
        <c:majorGridlines/>
        <c:numFmt formatCode="0%" sourceLinked="1"/>
        <c:majorTickMark val="out"/>
        <c:minorTickMark val="none"/>
        <c:tickLblPos val="nextTo"/>
        <c:crossAx val="182894976"/>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Arkusz1!$B$1</c:f>
              <c:strCache>
                <c:ptCount val="1"/>
                <c:pt idx="0">
                  <c:v>Sprzedaż</c:v>
                </c:pt>
              </c:strCache>
            </c:strRef>
          </c:tx>
          <c:dLbls>
            <c:showLegendKey val="0"/>
            <c:showVal val="0"/>
            <c:showCatName val="0"/>
            <c:showSerName val="0"/>
            <c:showPercent val="1"/>
            <c:showBubbleSize val="0"/>
            <c:showLeaderLines val="1"/>
          </c:dLbls>
          <c:cat>
            <c:strRef>
              <c:f>Arkusz1!$A$2:$A$4</c:f>
              <c:strCache>
                <c:ptCount val="3"/>
                <c:pt idx="0">
                  <c:v>TAK</c:v>
                </c:pt>
                <c:pt idx="1">
                  <c:v>NIE WIEM</c:v>
                </c:pt>
                <c:pt idx="2">
                  <c:v>NIE</c:v>
                </c:pt>
              </c:strCache>
            </c:strRef>
          </c:cat>
          <c:val>
            <c:numRef>
              <c:f>Arkusz1!$B$2:$B$4</c:f>
              <c:numCache>
                <c:formatCode>0%</c:formatCode>
                <c:ptCount val="3"/>
                <c:pt idx="0">
                  <c:v>0.35</c:v>
                </c:pt>
                <c:pt idx="1">
                  <c:v>0.01</c:v>
                </c:pt>
                <c:pt idx="2">
                  <c:v>0.64</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30"/>
    </mc:Choice>
    <mc:Fallback>
      <c:style val="30"/>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Arkusz1!$B$1</c:f>
              <c:strCache>
                <c:ptCount val="1"/>
                <c:pt idx="0">
                  <c:v>Seria 1</c:v>
                </c:pt>
              </c:strCache>
            </c:strRef>
          </c:tx>
          <c:invertIfNegative val="0"/>
          <c:cat>
            <c:strRef>
              <c:f>Arkusz1!$A$2:$A$43</c:f>
              <c:strCache>
                <c:ptCount val="42"/>
                <c:pt idx="0">
                  <c:v>Bóg</c:v>
                </c:pt>
                <c:pt idx="1">
                  <c:v>Dobro</c:v>
                </c:pt>
                <c:pt idx="2">
                  <c:v>Dom</c:v>
                </c:pt>
                <c:pt idx="3">
                  <c:v>Kariera</c:v>
                </c:pt>
                <c:pt idx="4">
                  <c:v>Kolekcjonowanie</c:v>
                </c:pt>
                <c:pt idx="5">
                  <c:v>Moda</c:v>
                </c:pt>
                <c:pt idx="6">
                  <c:v>Miłość</c:v>
                </c:pt>
                <c:pt idx="7">
                  <c:v>Patriotyzm</c:v>
                </c:pt>
                <c:pt idx="8">
                  <c:v>Pieniądze</c:v>
                </c:pt>
                <c:pt idx="9">
                  <c:v>Praca</c:v>
                </c:pt>
                <c:pt idx="10">
                  <c:v>Prawdaa</c:v>
                </c:pt>
                <c:pt idx="11">
                  <c:v>Podróże</c:v>
                </c:pt>
                <c:pt idx="12">
                  <c:v>Pokój</c:v>
                </c:pt>
                <c:pt idx="13">
                  <c:v>Prawdomówność</c:v>
                </c:pt>
                <c:pt idx="14">
                  <c:v>Przyjaźń</c:v>
                </c:pt>
                <c:pt idx="15">
                  <c:v>Rodzina</c:v>
                </c:pt>
                <c:pt idx="16">
                  <c:v>Rzetelność</c:v>
                </c:pt>
                <c:pt idx="17">
                  <c:v>Samochód</c:v>
                </c:pt>
                <c:pt idx="18">
                  <c:v>Uroda</c:v>
                </c:pt>
                <c:pt idx="19">
                  <c:v>Wędkowanie</c:v>
                </c:pt>
                <c:pt idx="20">
                  <c:v>Wiara</c:v>
                </c:pt>
                <c:pt idx="21">
                  <c:v>Wynalezienie czegoś</c:v>
                </c:pt>
                <c:pt idx="22">
                  <c:v>Zabawa</c:v>
                </c:pt>
                <c:pt idx="23">
                  <c:v>Uczciwość</c:v>
                </c:pt>
                <c:pt idx="24">
                  <c:v>Sprawiedliwość</c:v>
                </c:pt>
                <c:pt idx="25">
                  <c:v>Używanie życia</c:v>
                </c:pt>
                <c:pt idx="26">
                  <c:v>Punktualność</c:v>
                </c:pt>
                <c:pt idx="27">
                  <c:v>Szacunek</c:v>
                </c:pt>
                <c:pt idx="28">
                  <c:v>Szczęście rodzinne</c:v>
                </c:pt>
                <c:pt idx="29">
                  <c:v>Wolność</c:v>
                </c:pt>
                <c:pt idx="30">
                  <c:v>Zdrowie</c:v>
                </c:pt>
                <c:pt idx="31">
                  <c:v>Życzliwość ludzi</c:v>
                </c:pt>
                <c:pt idx="32">
                  <c:v>Seks</c:v>
                </c:pt>
                <c:pt idx="33">
                  <c:v>Sprawność fizyczna</c:v>
                </c:pt>
                <c:pt idx="34">
                  <c:v>Muzyka</c:v>
                </c:pt>
                <c:pt idx="35">
                  <c:v>Partnerstwo</c:v>
                </c:pt>
                <c:pt idx="36">
                  <c:v>Niezależność</c:v>
                </c:pt>
                <c:pt idx="37">
                  <c:v>Tolerancja</c:v>
                </c:pt>
                <c:pt idx="38">
                  <c:v>Życie</c:v>
                </c:pt>
                <c:pt idx="39">
                  <c:v>Szkoła - Wykształcenie</c:v>
                </c:pt>
                <c:pt idx="40">
                  <c:v>Zaufanie</c:v>
                </c:pt>
                <c:pt idx="41">
                  <c:v>Poczucie humoru</c:v>
                </c:pt>
              </c:strCache>
            </c:strRef>
          </c:cat>
          <c:val>
            <c:numRef>
              <c:f>Arkusz1!$B$2:$B$43</c:f>
              <c:numCache>
                <c:formatCode>0%</c:formatCode>
                <c:ptCount val="42"/>
                <c:pt idx="0">
                  <c:v>0.68</c:v>
                </c:pt>
                <c:pt idx="1">
                  <c:v>0.49</c:v>
                </c:pt>
                <c:pt idx="2">
                  <c:v>0.76</c:v>
                </c:pt>
                <c:pt idx="3">
                  <c:v>0.34</c:v>
                </c:pt>
                <c:pt idx="4">
                  <c:v>0.04</c:v>
                </c:pt>
                <c:pt idx="5">
                  <c:v>0.26</c:v>
                </c:pt>
                <c:pt idx="6">
                  <c:v>0.76</c:v>
                </c:pt>
                <c:pt idx="7">
                  <c:v>0.18</c:v>
                </c:pt>
                <c:pt idx="8">
                  <c:v>0.42</c:v>
                </c:pt>
                <c:pt idx="9">
                  <c:v>0.56000000000000005</c:v>
                </c:pt>
                <c:pt idx="10">
                  <c:v>0.57999999999999996</c:v>
                </c:pt>
                <c:pt idx="11">
                  <c:v>0.26</c:v>
                </c:pt>
                <c:pt idx="12">
                  <c:v>0.54</c:v>
                </c:pt>
                <c:pt idx="13">
                  <c:v>0.46</c:v>
                </c:pt>
                <c:pt idx="14">
                  <c:v>0.78</c:v>
                </c:pt>
                <c:pt idx="15">
                  <c:v>0.74</c:v>
                </c:pt>
                <c:pt idx="16">
                  <c:v>0.26</c:v>
                </c:pt>
                <c:pt idx="17">
                  <c:v>0.24</c:v>
                </c:pt>
                <c:pt idx="18">
                  <c:v>0.28000000000000003</c:v>
                </c:pt>
                <c:pt idx="19">
                  <c:v>0.04</c:v>
                </c:pt>
                <c:pt idx="20">
                  <c:v>0.44</c:v>
                </c:pt>
                <c:pt idx="21">
                  <c:v>0.1</c:v>
                </c:pt>
                <c:pt idx="22">
                  <c:v>0.28000000000000003</c:v>
                </c:pt>
                <c:pt idx="23">
                  <c:v>0.6</c:v>
                </c:pt>
                <c:pt idx="24">
                  <c:v>0.56000000000000005</c:v>
                </c:pt>
                <c:pt idx="25">
                  <c:v>0.26</c:v>
                </c:pt>
                <c:pt idx="26">
                  <c:v>0.16</c:v>
                </c:pt>
                <c:pt idx="27">
                  <c:v>0.5</c:v>
                </c:pt>
                <c:pt idx="28">
                  <c:v>0.66</c:v>
                </c:pt>
                <c:pt idx="29">
                  <c:v>0.46</c:v>
                </c:pt>
                <c:pt idx="30">
                  <c:v>0.78</c:v>
                </c:pt>
                <c:pt idx="31">
                  <c:v>0.38</c:v>
                </c:pt>
                <c:pt idx="32">
                  <c:v>0.04</c:v>
                </c:pt>
                <c:pt idx="33">
                  <c:v>0.02</c:v>
                </c:pt>
                <c:pt idx="34">
                  <c:v>0.02</c:v>
                </c:pt>
                <c:pt idx="35">
                  <c:v>0.02</c:v>
                </c:pt>
                <c:pt idx="36">
                  <c:v>0.02</c:v>
                </c:pt>
                <c:pt idx="37">
                  <c:v>0.02</c:v>
                </c:pt>
                <c:pt idx="38">
                  <c:v>0.04</c:v>
                </c:pt>
                <c:pt idx="39">
                  <c:v>0.76</c:v>
                </c:pt>
                <c:pt idx="40">
                  <c:v>0.02</c:v>
                </c:pt>
                <c:pt idx="41">
                  <c:v>0.02</c:v>
                </c:pt>
              </c:numCache>
            </c:numRef>
          </c:val>
        </c:ser>
        <c:dLbls>
          <c:showLegendKey val="0"/>
          <c:showVal val="1"/>
          <c:showCatName val="0"/>
          <c:showSerName val="0"/>
          <c:showPercent val="0"/>
          <c:showBubbleSize val="0"/>
        </c:dLbls>
        <c:gapWidth val="150"/>
        <c:overlap val="-25"/>
        <c:axId val="182616832"/>
        <c:axId val="182618368"/>
      </c:barChart>
      <c:catAx>
        <c:axId val="182616832"/>
        <c:scaling>
          <c:orientation val="minMax"/>
        </c:scaling>
        <c:delete val="0"/>
        <c:axPos val="l"/>
        <c:majorTickMark val="none"/>
        <c:minorTickMark val="none"/>
        <c:tickLblPos val="nextTo"/>
        <c:crossAx val="182618368"/>
        <c:crosses val="autoZero"/>
        <c:auto val="1"/>
        <c:lblAlgn val="ctr"/>
        <c:lblOffset val="100"/>
        <c:noMultiLvlLbl val="0"/>
      </c:catAx>
      <c:valAx>
        <c:axId val="182618368"/>
        <c:scaling>
          <c:orientation val="minMax"/>
        </c:scaling>
        <c:delete val="1"/>
        <c:axPos val="b"/>
        <c:numFmt formatCode="0%" sourceLinked="1"/>
        <c:majorTickMark val="out"/>
        <c:minorTickMark val="none"/>
        <c:tickLblPos val="nextTo"/>
        <c:crossAx val="182616832"/>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8E50F-3395-41F1-8FFD-B6E355255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17</Pages>
  <Words>3591</Words>
  <Characters>21550</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Drzezdzon</cp:lastModifiedBy>
  <cp:revision>22</cp:revision>
  <dcterms:created xsi:type="dcterms:W3CDTF">2011-06-11T04:51:00Z</dcterms:created>
  <dcterms:modified xsi:type="dcterms:W3CDTF">2014-04-16T05:36:00Z</dcterms:modified>
</cp:coreProperties>
</file>